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5.4 (Apache licensed) using REFERENCE JAXB in Eclipse Adoptium Java 21.0.6 on Linux -->
    <w:p>
      <w:pPr>
        <w:pStyle w:val="TitleStyle"/>
      </w:pPr>
      <w:r>
        <w:t>Europejska Karta Samorządu Lokalnego. Strasburg.1985.10.15.</w:t>
      </w:r>
    </w:p>
    <w:p>
      <w:pPr>
        <w:pStyle w:val="NormalStyle"/>
      </w:pPr>
      <w:r>
        <w:t>Dz.U.1994.124.607 z dnia 1994.11.25</w:t>
      </w:r>
    </w:p>
    <w:p>
      <w:pPr>
        <w:pStyle w:val="NormalStyle"/>
      </w:pPr>
      <w:r>
        <w:t xml:space="preserve">Status: Akt obowiązujący </w:t>
      </w:r>
    </w:p>
    <w:p>
      <w:pPr>
        <w:pStyle w:val="NormalStyle"/>
      </w:pPr>
      <w:r>
        <w:t xml:space="preserve">Wersja od: 29 sierpnia 2006r. </w:t>
      </w:r>
    </w:p>
    <w:p>
      <w:pPr>
        <w:spacing w:after="0"/>
        <w:ind w:left="0"/>
        <w:jc w:val="left"/>
        <w:textAlignment w:val="auto"/>
      </w:pPr>
      <w:r>
        <w:br/>
      </w:r>
    </w:p>
    <w:p>
      <w:pPr>
        <w:numPr>
          <w:ilvl w:val="0"/>
          <w:numId w:val="1"/>
        </w:numPr>
        <w:spacing w:after="0"/>
        <w:ind w:left="0"/>
        <w:jc w:val="left"/>
        <w:textAlignment w:val="auto"/>
      </w:pPr>
    </w:p>
    <w:p>
      <w:pPr>
        <w:spacing w:after="0"/>
        <w:ind w:left="0"/>
        <w:jc w:val="left"/>
        <w:textAlignment w:val="auto"/>
      </w:pP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Wejście w życie:</w:t>
      </w:r>
    </w:p>
    <w:p>
      <w:pPr>
        <w:spacing w:after="15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 marca 1994 r.</w:t>
      </w:r>
    </w:p>
    <w:p>
      <w:pPr>
        <w:spacing w:after="0"/>
        <w:ind w:left="0"/>
        <w:jc w:val="left"/>
        <w:textAlignment w:val="auto"/>
      </w:pPr>
    </w:p>
    <w:p>
      <w:pPr>
        <w:numPr>
          <w:ilvl w:val="0"/>
          <w:numId w:val="1"/>
        </w:numPr>
        <w:spacing w:after="0"/>
        <w:ind w:left="0"/>
        <w:jc w:val="left"/>
        <w:textAlignment w:val="auto"/>
      </w:pPr>
    </w:p>
    <w:p>
      <w:pPr>
        <w:spacing w:after="0"/>
        <w:ind w:left="0"/>
        <w:jc w:val="left"/>
        <w:textAlignment w:val="auto"/>
      </w:pPr>
      <w:r>
        <w:br/>
      </w:r>
    </w:p>
    <w:p>
      <w:pPr>
        <w:spacing w:after="0"/>
        <w:ind w:left="0"/>
        <w:jc w:val="left"/>
        <w:textAlignment w:val="auto"/>
      </w:pPr>
    </w:p>
    <w:p>
      <w:pPr>
        <w:spacing w:after="0"/>
        <w:ind w:left="0"/>
        <w:jc w:val="left"/>
        <w:textAlignment w:val="auto"/>
      </w:pPr>
    </w:p>
    <w:p>
      <w:pPr>
        <w:spacing w:after="0"/>
        <w:ind w:left="0"/>
        <w:jc w:val="left"/>
        <w:textAlignment w:val="auto"/>
      </w:pP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center"/>
        <w:textAlignment w:val="auto"/>
      </w:pPr>
      <w:r>
        <w:rPr>
          <w:rFonts w:ascii="Times New Roman"/>
          <w:b/>
          <w:i/>
          <w:color w:val="000000"/>
          <w:sz w:val="24"/>
          <w:lang w:val="pl-PL"/>
        </w:rPr>
        <w:t>EUROPEJSKA KARTA SAMORZĄDU</w:t>
      </w:r>
    </w:p>
    <w:p>
      <w:pPr>
        <w:spacing w:after="0"/>
        <w:ind w:left="0"/>
        <w:jc w:val="center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LOKALNEGO, </w:t>
      </w:r>
      <w:r>
        <w:rPr>
          <w:rFonts w:ascii="Times New Roman"/>
          <w:b/>
          <w:i w:val="false"/>
          <w:color w:val="000000"/>
          <w:sz w:val="24"/>
          <w:vertAlign w:val="superscript"/>
          <w:lang w:val="pl-PL"/>
        </w:rPr>
        <w:t>1</w:t>
      </w:r>
    </w:p>
    <w:p>
      <w:pPr>
        <w:spacing w:before="80" w:after="0"/>
        <w:ind w:left="0"/>
        <w:jc w:val="center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sporządzona w Strasburgu dnia 15 października 1985 r.</w:t>
      </w:r>
    </w:p>
    <w:p>
      <w:pPr>
        <w:spacing w:before="80" w:after="0"/>
        <w:ind w:left="0"/>
        <w:jc w:val="center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W imieniu Rzeczypospolitej Polskiej</w:t>
      </w:r>
    </w:p>
    <w:p>
      <w:pPr>
        <w:spacing w:before="25" w:after="0"/>
        <w:ind w:left="0"/>
        <w:jc w:val="center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PREZYDENT RZECZYPOSPOLITEJ POLSKIEJ</w:t>
      </w:r>
    </w:p>
    <w:p>
      <w:pPr>
        <w:spacing w:before="25" w:after="0"/>
        <w:ind w:left="0"/>
        <w:jc w:val="center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podaje do powszechnej wiadomości: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center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W dniu 15 października 1985 r. została sporządzona w Strasburgu </w:t>
      </w:r>
      <w:r>
        <w:rPr>
          <w:rFonts w:ascii="Times New Roman"/>
          <w:b w:val="false"/>
          <w:i/>
          <w:color w:val="000000"/>
          <w:sz w:val="24"/>
          <w:lang w:val="pl-PL"/>
        </w:rPr>
        <w:t>Europejska Karta Samorządu</w:t>
      </w:r>
    </w:p>
    <w:p>
      <w:pPr>
        <w:spacing w:after="0"/>
        <w:ind w:left="0"/>
        <w:jc w:val="center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Lokalnego w następującym brzmieniu: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center"/>
        <w:textAlignment w:val="auto"/>
      </w:pPr>
      <w:r>
        <w:rPr>
          <w:rFonts w:ascii="Times New Roman"/>
          <w:b/>
          <w:i/>
          <w:color w:val="000000"/>
          <w:sz w:val="24"/>
          <w:lang w:val="pl-PL"/>
        </w:rPr>
        <w:t>EUROPEJSKA KARTA</w:t>
      </w:r>
    </w:p>
    <w:p>
      <w:pPr>
        <w:spacing w:after="0"/>
        <w:ind w:left="0"/>
        <w:jc w:val="center"/>
        <w:textAlignment w:val="auto"/>
      </w:pP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center"/>
        <w:textAlignment w:val="auto"/>
      </w:pPr>
      <w:r>
        <w:rPr>
          <w:rFonts w:ascii="Times New Roman"/>
          <w:b/>
          <w:i/>
          <w:color w:val="000000"/>
          <w:sz w:val="24"/>
          <w:lang w:val="pl-PL"/>
        </w:rPr>
        <w:t>SAMORZĄDU</w:t>
      </w:r>
    </w:p>
    <w:p>
      <w:pPr>
        <w:spacing w:after="0"/>
        <w:ind w:left="0"/>
        <w:jc w:val="center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LOKALNEGO </w:t>
      </w:r>
      <w:r>
        <w:rPr>
          <w:rFonts w:ascii="Times New Roman"/>
          <w:b/>
          <w:i w:val="false"/>
          <w:color w:val="000000"/>
          <w:sz w:val="24"/>
          <w:vertAlign w:val="superscript"/>
          <w:lang w:val="pl-PL"/>
        </w:rPr>
        <w:t>2</w:t>
      </w:r>
    </w:p>
    <w:p>
      <w:pPr>
        <w:spacing w:before="25" w:after="0"/>
        <w:ind w:left="0"/>
        <w:jc w:val="center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PREAMBUŁA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center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Państwa członkowskie Rady Europy, sygnatariusze niniejszej </w:t>
      </w:r>
      <w:r>
        <w:rPr>
          <w:rFonts w:ascii="Times New Roman"/>
          <w:b w:val="false"/>
          <w:i/>
          <w:color w:val="000000"/>
          <w:sz w:val="24"/>
          <w:lang w:val="pl-PL"/>
        </w:rPr>
        <w:t>Karty</w:t>
      </w:r>
    </w:p>
    <w:p>
      <w:pPr>
        <w:spacing w:after="0"/>
        <w:ind w:left="0"/>
        <w:jc w:val="center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,</w:t>
      </w:r>
    </w:p>
    <w:p>
      <w:pPr>
        <w:spacing w:before="25" w:after="0"/>
        <w:ind w:left="0"/>
        <w:jc w:val="center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zważywszy, iż celem Rady Europy jest zacieśnienie więzi pomiędzy państwami członkowskimi w celu ochrony i urzeczywistnienia idei oraz zasad, które stanowią ich wspólny dorobek;</w:t>
      </w:r>
    </w:p>
    <w:p>
      <w:pPr>
        <w:spacing w:before="25" w:after="0"/>
        <w:ind w:left="0"/>
        <w:jc w:val="center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zważywszy, że jednym ze środków służących do realizacji tego celu jest zawieranie umów w dziedzinie administracji;</w:t>
      </w:r>
    </w:p>
    <w:p>
      <w:pPr>
        <w:spacing w:before="25" w:after="0"/>
        <w:ind w:left="0"/>
        <w:jc w:val="center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zważywszy, że społeczności lokalne stanowią jedną z zasadniczych podstaw ustroju demokratycznego;</w:t>
      </w:r>
    </w:p>
    <w:p>
      <w:pPr>
        <w:spacing w:before="25" w:after="0"/>
        <w:ind w:left="0"/>
        <w:jc w:val="center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zważywszy, że prawo obywateli do uczestnictwa w kierowaniu sprawami publicznymi jest jedną z demokratycznych zasad, wspólnych dla wszystkich państw członkowskich Rady Europy;</w:t>
      </w:r>
    </w:p>
    <w:p>
      <w:pPr>
        <w:spacing w:before="25" w:after="0"/>
        <w:ind w:left="0"/>
        <w:jc w:val="center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przekonane, że to właśnie na szczeblu lokalnym prawo to może być realizowane w sposób najbardziej bezpośredni;</w:t>
      </w:r>
    </w:p>
    <w:p>
      <w:pPr>
        <w:spacing w:before="25" w:after="0"/>
        <w:ind w:left="0"/>
        <w:jc w:val="center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przekonane, że istnienie społeczności lokalnych wyposażonych w rzeczywiste uprawnienia stwarza warunki dla zarządzania skutecznego i pozostającego zarazem w bezpośredniej bliskości obywatela;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center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świadome faktu, że ochrona i ugruntowanie </w:t>
      </w:r>
      <w:r>
        <w:rPr>
          <w:rFonts w:ascii="Times New Roman"/>
          <w:b w:val="false"/>
          <w:i/>
          <w:color w:val="000000"/>
          <w:sz w:val="24"/>
          <w:lang w:val="pl-PL"/>
        </w:rPr>
        <w:t>samorządu</w:t>
      </w:r>
    </w:p>
    <w:p>
      <w:pPr>
        <w:spacing w:after="0"/>
        <w:ind w:left="0"/>
        <w:jc w:val="center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terytorialnego w poszczególnych krajach Europy przyczyniają się w poważnym stopniu do budowy Europy w oparciu o zasady demokracji i decentralizacji władzy;</w:t>
      </w:r>
    </w:p>
    <w:p>
      <w:pPr>
        <w:spacing w:before="25" w:after="0"/>
        <w:ind w:left="0"/>
        <w:jc w:val="center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przyznając, że jest to możliwe przy założeniu, że społeczności lokalne wyposażone są w organy decyzyjne ukonstytuowane w sposób demokratyczny i korzystają z szerokiej autonomii odnośnie do kompetencji, sposobów ich wykonywania oraz środków niezbędnych do realizacji ich zadań,</w:t>
      </w:r>
    </w:p>
    <w:p>
      <w:pPr>
        <w:spacing w:before="25" w:after="0"/>
        <w:ind w:left="0"/>
        <w:jc w:val="center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uzgodniły, co następuje: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Artykuł 1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both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Strony zobowiązują się do uznania poniższych artykułów za wiążące w sposób i w zakresie przewidzianym w artykule 12 niniejszej </w:t>
      </w:r>
      <w:r>
        <w:rPr>
          <w:rFonts w:ascii="Times New Roman"/>
          <w:b w:val="false"/>
          <w:i/>
          <w:color w:val="000000"/>
          <w:sz w:val="24"/>
          <w:lang w:val="pl-PL"/>
        </w:rPr>
        <w:t>Karty</w:t>
      </w:r>
    </w:p>
    <w:p>
      <w:pPr>
        <w:spacing w:after="0"/>
        <w:ind w:left="0"/>
        <w:jc w:val="both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.</w:t>
      </w:r>
    </w:p>
    <w:p>
      <w:pPr>
        <w:spacing w:before="236" w:after="0"/>
        <w:ind w:left="0"/>
        <w:jc w:val="center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CZĘŚĆ I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Artykuł 2 </w:t>
      </w:r>
      <w:r>
        <w:rPr>
          <w:rFonts w:ascii="Times New Roman"/>
          <w:b/>
          <w:i w:val="false"/>
          <w:color w:val="000000"/>
          <w:sz w:val="24"/>
          <w:vertAlign w:val="superscript"/>
          <w:lang w:val="pl-PL"/>
        </w:rPr>
        <w:t>3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Podstawa konstytucyjna i prawna </w:t>
      </w:r>
      <w:r>
        <w:rPr>
          <w:rFonts w:ascii="Times New Roman"/>
          <w:b/>
          <w:i/>
          <w:color w:val="000000"/>
          <w:sz w:val="24"/>
          <w:lang w:val="pl-PL"/>
        </w:rPr>
        <w:t>samorządu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lokalnego</w:t>
      </w:r>
    </w:p>
    <w:p>
      <w:pPr>
        <w:spacing w:before="25" w:after="0"/>
        <w:ind w:left="0"/>
        <w:jc w:val="both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Zasada samorządności lokalnej musi być uznana w prawie wewnętrznym oraz, w miarę możliwości, w Konstytucji.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Artykuł 3 </w:t>
      </w:r>
      <w:r>
        <w:rPr>
          <w:rFonts w:ascii="Times New Roman"/>
          <w:b/>
          <w:i w:val="false"/>
          <w:color w:val="000000"/>
          <w:sz w:val="24"/>
          <w:vertAlign w:val="superscript"/>
          <w:lang w:val="pl-PL"/>
        </w:rPr>
        <w:t>4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Koncepcja </w:t>
      </w:r>
      <w:r>
        <w:rPr>
          <w:rFonts w:ascii="Times New Roman"/>
          <w:b/>
          <w:i/>
          <w:color w:val="000000"/>
          <w:sz w:val="24"/>
          <w:lang w:val="pl-PL"/>
        </w:rPr>
        <w:t>samorządu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lokalnego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/>
          <w:color w:val="000000"/>
          <w:sz w:val="24"/>
          <w:lang w:val="pl-PL"/>
        </w:rPr>
        <w:t>Samorząd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lokalny oznacza prawo i zdolność społeczności lokalnych, w granicach określonych prawem, do kierowania i zarządzania zasadniczą częścią spraw publicznych na ich własną odpowiedzialność i w interesie ich mieszkańców.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Prawo to jest realizowane przez rady lub zgromadzenia, w których skład wchodzą członkowie wybierani w wyborach wolnych, tajnych, równych, bezpośrednich i powszechnych i które mogą dysponować organami wykonawczymi im podlegającymi. Przepis ten nie wyklucza możliwości odwołania się do zgromadzeń obywateli, referendum lub każdej innej formy bezpośredniego uczestnictwa obywateli, jeśli ustawa dopuszcza takie rozwiązanie.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Artykuł 4 </w:t>
      </w:r>
      <w:r>
        <w:rPr>
          <w:rFonts w:ascii="Times New Roman"/>
          <w:b/>
          <w:i w:val="false"/>
          <w:color w:val="000000"/>
          <w:sz w:val="24"/>
          <w:vertAlign w:val="superscript"/>
          <w:lang w:val="pl-PL"/>
        </w:rPr>
        <w:t>5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Zakres działania </w:t>
      </w:r>
      <w:r>
        <w:rPr>
          <w:rFonts w:ascii="Times New Roman"/>
          <w:b/>
          <w:i/>
          <w:color w:val="000000"/>
          <w:sz w:val="24"/>
          <w:lang w:val="pl-PL"/>
        </w:rPr>
        <w:t>samorządu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lokalnego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Podstawowe kompetencje społeczności lokalnych są określone w Konstytucji lub w ustawie. To postanowienie nie wyklucza jednakże możliwości przyznania społecznościom lokalnym uprawnień niezbędnych do realizacji specyficznych zadań, zgodnie z prawem.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Społeczności lokalne mają - w zakresie określonym prawem - pełną swobodę działania w każdej sprawie, która nie jest wyłączona z ich kompetencji lub nie wchodzi w zakres kompetencji innych organów władzy.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Generalnie odpowiedzialność za sprawy publiczne powinny ponosić przede wszystkim te organy władzy, które znajdują się najbliżej obywateli. Powierzając te funkcje innemu organowi władzy, należy uwzględnić zakres i charakter zadania oraz wymogi efektywności i gospodarności.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4.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Kompetencje przyznane społecznościom lokalnym powinny być w zasadzie całkowite i wyłączne i mogą zostać zakwestionowane lub ograniczone przez inny organ władzy, centralny lub regionalny, jedynie w zakresie przewidzianym prawem.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5.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W przypadku delegowania kompetencji społecznościom lokalnym przez organy władzy centralnej lub regionalnej, powinny one, w miarę możliwości, mieć pełną swobodę dostosowania sposobu wykonywania tych kompetencji do warunków miejscowych.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6.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Społeczności lokalne powinny być konsultowane o tyle, o ile jest to możliwe, we właściwym czasie i w odpowiednim trybie, w trakcie opracowywania planów oraz podejmowania decyzji we wszystkich sprawach bezpośrednio ich dotyczących.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Artykuł 5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Ochrona granic społeczności lokalnych</w:t>
      </w:r>
    </w:p>
    <w:p>
      <w:pPr>
        <w:spacing w:before="25" w:after="0"/>
        <w:ind w:left="0"/>
        <w:jc w:val="both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Każda zmiana granic społeczności lokalnej wymaga uprzedniego przeprowadzenia konsultacji z zainteresowaną społecznością, możliwie w drodze referendum, jeśli ustawa na to zezwala.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Artykuł 6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Dostosowanie struktur i środków administracyjnych do zadań społeczności lokalnych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Jeśli bardziej ogólne postanowienia ustawy nie stanowią inaczej, społeczności lokalne powinny móc samodzielnie ustalać swą wewnętrzną strukturę administracyjną, tworząc jednostki dostosowane do specyficznych potrzeb i umożliwiające skuteczne zarządzanie.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Status pracowników samorządowych powinien umożliwiać zatrudnianie pracowników wysoko wykwalifikowanych, w oparciu o kryterium umiejętności i kompetencji; w tym celu należy przewidzieć odpowiednie zasady szkolenia, wynagradzania oraz możliwości awansu zawodowego.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Artykuł 7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Warunki wykonywania uprawnień na szczeblu lokalnym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Status przedstawicieli wybieranych do władz lokalnych powinien zapewniać swobodne wykonywanie ich mandatu.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Status ten powinien zapewnić wyrównanie finansowe odpowiednio do kosztów poniesionych w związku z wykonywaniem mandatu oraz, w razie potrzeby, wyrównanie finansowe za utracone zyski lub też wynagrodzenie za wykonaną pracę, jak również odpowiednie ubezpieczenie społeczne.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Funkcje lub działania nie dające się pogodzić z mandatem przedstawiciela wybranego do władz lokalnych mogą być określone jedynie przez ustawę lub wynikać z podstawowych zasad prawnych.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Artykuł 8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Kontrola administracyjna działalności społeczności lokalnych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Wszelka kontrola administracyjna społeczności lokalnych może być dokonywana wyłącznie w sposób oraz w przypadkach przewidzianych w Konstytucji lub w ustawie.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Wszelka kontrola administracyjna działalności społeczności lokalnych powinna w zasadzie mieć na celu jedynie zapewnienie przestrzegania prawa i zasad konstytucyjnych. Kontrola administracyjna może jednakże obejmować kontrolę celowości realizowaną przez organ wyższego szczebla w odniesieniu do zadań, których wykonanie zostało społecznościom lokalnym delegowane.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Kontrola administracyjna społeczności lokalnych powinna być sprawowana z zachowaniem proporcji między zakresem interwencji ze strony organu kontroli a znaczeniem interesów, które ma on chronić.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Artykuł 9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Zasady finansowe społeczności lokalnych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Społeczności lokalne mają prawo, w ramach narodowej polityki gospodarczej, do posiadania własnych wystarczających zasobów finansowych, którymi mogą swobodnie dysponować w ramach wykonywania swych uprawnień.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Wysokość zasobów finansowych społeczności lokalnych powinna być dostosowana do zakresu uprawnień przyznanych im przez Konstytucję lub przez prawo.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Przynajmniej część zasobów finansowych społeczności lokalnych powinna pochodzić z opłat i podatków lokalnych, których wysokość społeczności te mają prawo ustalać, w zakresie określonym ustawą.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4.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Systemy finansowe, na jakich opierają się zasoby pozostające do dyspozycji społeczności lokalnych, powinny być wystarczająco zróżnicowane i elastyczne, aby mogły w miarę możliwości odpowiadać rzeczywistym zmianom zachodzącym w poziomie kosztów związanych z wykonywaniem uprawnień.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5.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Ochrona społeczności lokalnych, finansowo słabszych, wymaga zastosowania procedur wyrównawczych lub działań równoważących, mających na celu korygowanie skutków nierównego podziału potencjalnych źródeł dochodów, a także wydatków, jakie te społeczności ponoszą. Procedury lub działania tego typu nie powinny ograniczać swobody podejmowania decyzji przez społeczności lokalne w zakresie ich uprawnień własnych.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6.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Społeczności lokalne powinny być konsultowane, w odpowiednim trybie, co do form przyznania im zasobów pochodzących z redystrybucji dochodów.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7.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O ile jest to możliwe, subwencje przyznane społecznościom lokalnym nie powinny być przeznaczane na finansowanie specyficznych projektów. Przyznanie subwencji nie może zagrażać podstawowej wolności społeczności lokalnej do swobodnego prowadzenia własnej polityki w zakresie przyznanych jej uprawnień.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8.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Dla potrzeb finansowania nakładów inwestycyjnych społeczności lokalne powinny mieć dostęp do krajowego rynku kapitałowego, w granicach określonych prawem.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Artykuł 10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Prawo społeczności lokalnych do zrzeszania się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Wykonując swoje uprawnienia, społeczności lokalne mają prawo współpracować z innymi społecznościami lokalnymi oraz zrzeszać się z nimi - w granicach określonych prawem - w celu realizacji zadań, które stanowią przedmiot ich wspólnego zainteresowania.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Prawo społeczności lokalnych do przystąpienia do stowarzyszenia w celu ochrony i rozwijania wspólnych interesów oraz prawo do przystąpienia do międzynarodowego stowarzyszenia społeczności lokalnych będzie uznane w każdym państwie.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Społeczności lokalne mogą współpracować ze społecznościami innych państw na warunkach przewidzianych prawem.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Artykuł 11 </w:t>
      </w:r>
      <w:r>
        <w:rPr>
          <w:rFonts w:ascii="Times New Roman"/>
          <w:b/>
          <w:i w:val="false"/>
          <w:color w:val="000000"/>
          <w:sz w:val="24"/>
          <w:vertAlign w:val="superscript"/>
          <w:lang w:val="pl-PL"/>
        </w:rPr>
        <w:t>6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Prawna ochrona </w:t>
      </w:r>
      <w:r>
        <w:rPr>
          <w:rFonts w:ascii="Times New Roman"/>
          <w:b/>
          <w:i/>
          <w:color w:val="000000"/>
          <w:sz w:val="24"/>
          <w:lang w:val="pl-PL"/>
        </w:rPr>
        <w:t>samorządu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lokalnego</w:t>
      </w:r>
    </w:p>
    <w:p>
      <w:pPr>
        <w:spacing w:before="25" w:after="0"/>
        <w:ind w:left="0"/>
        <w:jc w:val="both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Społeczności lokalne mają prawo do odwołania na drodze sądowej w celu zapewnienia swobodnego wykonywania uprawnień oraz poszanowania zasad samorządności lokalnej, przewidzianych w Konstytucji lub w prawie wewnętrznym.</w:t>
      </w:r>
    </w:p>
    <w:p>
      <w:pPr>
        <w:spacing w:before="89" w:after="0"/>
        <w:ind w:left="0"/>
        <w:jc w:val="center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CZĘŚĆ II</w:t>
      </w:r>
    </w:p>
    <w:p>
      <w:pPr>
        <w:spacing w:before="25" w:after="0"/>
        <w:ind w:left="0"/>
        <w:jc w:val="center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PRZEPISY RÓŻNE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Artykuł 12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Zobowiązania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Każda ze Stron zobowiązuje się do uznania za wiążące co najmniej dwudziestu ustępów zawartych w części I </w:t>
      </w:r>
      <w:r>
        <w:rPr>
          <w:rFonts w:ascii="Times New Roman"/>
          <w:b w:val="false"/>
          <w:i/>
          <w:color w:val="000000"/>
          <w:sz w:val="24"/>
          <w:lang w:val="pl-PL"/>
        </w:rPr>
        <w:t>Karty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, z których co najmniej dziesięć zostanie wybranych spośród następujących ustępów: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-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art. 2,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-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art. 3 ustępy 1 i 2,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-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art. 4 ustępy 1, 2 i 4,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-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art. 5,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-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art. 7 ustęp 1,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-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art. 8 ustęp 2,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-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art. 9 ustępy 1, 2 i 3,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-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art. 10 ustęp 1,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-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art. 11.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Każde umawiające się państwo, w chwili składania dokumentu ratyfikacyjnego, przyjęcia lub zatwierdzenia, powiadamia Sekretarza Generalnego Rady Europy o wybranych ustępach, zgodnie z przepisem ustępu 1 niniejszego artykułu.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Każda ze Stron może w jakimkolwiek późniejszym terminie powiadomić Sekretarza Generalnego, iż uznaje za wiążący każdy z pozostałych ustępów niniejszej </w:t>
      </w:r>
      <w:r>
        <w:rPr>
          <w:rFonts w:ascii="Times New Roman"/>
          <w:b w:val="false"/>
          <w:i/>
          <w:color w:val="000000"/>
          <w:sz w:val="24"/>
          <w:lang w:val="pl-PL"/>
        </w:rPr>
        <w:t>Karty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, którego dotychczas jeszcze nie przyjęła, zgodnie z przepisem ustępu 1 niniejszego artykułu.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Te późniejsze zobowiązania będą uznane za integralną część ratyfikacji, przyjęcia lub zatwierdzenia Strony składającej powiadomienie i będą miały ten sam skutek począwszy od pierwszego dnia miesiąca następującego po upływie trzech miesięcy od dnia otrzymania powiadomienia przez Sekretarza Generalnego.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Artykuł 13 </w:t>
      </w:r>
      <w:r>
        <w:rPr>
          <w:rFonts w:ascii="Times New Roman"/>
          <w:b/>
          <w:i w:val="false"/>
          <w:color w:val="000000"/>
          <w:sz w:val="24"/>
          <w:vertAlign w:val="superscript"/>
          <w:lang w:val="pl-PL"/>
        </w:rPr>
        <w:t>7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Społeczności, do których </w:t>
      </w:r>
      <w:r>
        <w:rPr>
          <w:rFonts w:ascii="Times New Roman"/>
          <w:b/>
          <w:i/>
          <w:color w:val="000000"/>
          <w:sz w:val="24"/>
          <w:lang w:val="pl-PL"/>
        </w:rPr>
        <w:t>Karta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ma zastosowanie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both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Zasady samorządności lokalnej zawarte w niniejszej </w:t>
      </w:r>
      <w:r>
        <w:rPr>
          <w:rFonts w:ascii="Times New Roman"/>
          <w:b w:val="false"/>
          <w:i/>
          <w:color w:val="000000"/>
          <w:sz w:val="24"/>
          <w:lang w:val="pl-PL"/>
        </w:rPr>
        <w:t>Karcie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both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mają zastosowanie do wszystkich kategorii społeczności lokalnych istniejących na terytorium Strony.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Jednakże każda ze Stron może - w momencie składania dokumentu ratyfikacyjnego, przyjęcia lub zatwierdzenia - wskazać te kategorie społeczności lokalnych lub regionalnych, do których zamierza ograniczyć stosowanie niniejszej </w:t>
      </w:r>
      <w:r>
        <w:rPr>
          <w:rFonts w:ascii="Times New Roman"/>
          <w:b w:val="false"/>
          <w:i/>
          <w:color w:val="000000"/>
          <w:sz w:val="24"/>
          <w:lang w:val="pl-PL"/>
        </w:rPr>
        <w:t>Karty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both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, lub te, do których </w:t>
      </w:r>
      <w:r>
        <w:rPr>
          <w:rFonts w:ascii="Times New Roman"/>
          <w:b w:val="false"/>
          <w:i/>
          <w:color w:val="000000"/>
          <w:sz w:val="24"/>
          <w:lang w:val="pl-PL"/>
        </w:rPr>
        <w:t>Karta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both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nie będzie miała zastosowania.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Strona może również włączyć inne kategorie społeczności lokalnych lub regionalnych do zakresu stosowania </w:t>
      </w:r>
      <w:r>
        <w:rPr>
          <w:rFonts w:ascii="Times New Roman"/>
          <w:b w:val="false"/>
          <w:i/>
          <w:color w:val="000000"/>
          <w:sz w:val="24"/>
          <w:lang w:val="pl-PL"/>
        </w:rPr>
        <w:t>Karty</w:t>
      </w:r>
    </w:p>
    <w:p>
      <w:pPr>
        <w:spacing w:after="0"/>
        <w:ind w:left="0"/>
        <w:jc w:val="both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w drodze późniejszego powiadomienia o tym Sekretarza Generalnego Rady Europy.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Artykuł 14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Przekazywanie informacji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both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Każda Strona przekazuje Sekretarzowi Generalnemu Rady Europy wszelkie informacje dotyczące przepisów prawnych oraz innych rozwiązań, które zostały zastosowane w celu dostosowania się do postanowień niniejszej </w:t>
      </w:r>
      <w:r>
        <w:rPr>
          <w:rFonts w:ascii="Times New Roman"/>
          <w:b w:val="false"/>
          <w:i/>
          <w:color w:val="000000"/>
          <w:sz w:val="24"/>
          <w:lang w:val="pl-PL"/>
        </w:rPr>
        <w:t>Karty</w:t>
      </w:r>
    </w:p>
    <w:p>
      <w:pPr>
        <w:spacing w:after="0"/>
        <w:ind w:left="0"/>
        <w:jc w:val="both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.</w:t>
      </w:r>
    </w:p>
    <w:p>
      <w:pPr>
        <w:spacing w:before="236" w:after="0"/>
        <w:ind w:left="0"/>
        <w:jc w:val="center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CZĘŚĆ III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Artykuł 15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Podpisanie, ratyfikacja, wejście w życie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Niniejsza </w:t>
      </w:r>
      <w:r>
        <w:rPr>
          <w:rFonts w:ascii="Times New Roman"/>
          <w:b w:val="false"/>
          <w:i/>
          <w:color w:val="000000"/>
          <w:sz w:val="24"/>
          <w:lang w:val="pl-PL"/>
        </w:rPr>
        <w:t>Karta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jest otwarta do podpisu dla państw członkowskich Rady Europy.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Podlega ratyfikacji, przyjęciu lub zatwierdzeniu. Dokument ratyfikacyjny, przyjęcia lub zatwierdzenia zostanie zdeponowany u Sekretarza Generalnego Rady Europy.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Niniejsza </w:t>
      </w:r>
      <w:r>
        <w:rPr>
          <w:rFonts w:ascii="Times New Roman"/>
          <w:b w:val="false"/>
          <w:i/>
          <w:color w:val="000000"/>
          <w:sz w:val="24"/>
          <w:lang w:val="pl-PL"/>
        </w:rPr>
        <w:t>Karta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wejdzie w życie w pierwszym dniu miesiąca następującego po upływie trzech miesięcy od dnia wyrażenia zgody na związanie się </w:t>
      </w:r>
      <w:r>
        <w:rPr>
          <w:rFonts w:ascii="Times New Roman"/>
          <w:b w:val="false"/>
          <w:i/>
          <w:color w:val="000000"/>
          <w:sz w:val="24"/>
          <w:lang w:val="pl-PL"/>
        </w:rPr>
        <w:t>Kartą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przez cztery państwa członkowskie Rady Europy, zgodnie z przepisem poprzedniego ustępu.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W stosunku do każdego państwa członkowskiego, które wyrazi w późniejszym terminie zgodę na związanie się </w:t>
      </w:r>
      <w:r>
        <w:rPr>
          <w:rFonts w:ascii="Times New Roman"/>
          <w:b w:val="false"/>
          <w:i/>
          <w:color w:val="000000"/>
          <w:sz w:val="24"/>
          <w:lang w:val="pl-PL"/>
        </w:rPr>
        <w:t>Kartą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, wejdzie ona w życie w pierwszym dniu miesiąca następującego po upływie trzech miesięcy od dnia złożenia dokumentu ratyfikacyjnego, przyjęcia lub zatwierdzenia.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Artykuł 16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Klauzula terytorialna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Każde państwo może przy podpisywaniu albo w momencie składania dokumentu ratyfikacyjnego, przyjęcia, zatwierdzenia lub przystąpienia określić terytorium lub terytoria, na których </w:t>
      </w:r>
      <w:r>
        <w:rPr>
          <w:rFonts w:ascii="Times New Roman"/>
          <w:b w:val="false"/>
          <w:i/>
          <w:color w:val="000000"/>
          <w:sz w:val="24"/>
          <w:lang w:val="pl-PL"/>
        </w:rPr>
        <w:t>Karta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będzie stosowana.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Każde państwo może w jakimkolwiek późniejszym terminie, w drodze oświadczenia skierowanego do Sekretarza Generalnego Rady Europy, rozszerzyć stosowanie niniejszej </w:t>
      </w:r>
      <w:r>
        <w:rPr>
          <w:rFonts w:ascii="Times New Roman"/>
          <w:b w:val="false"/>
          <w:i/>
          <w:color w:val="000000"/>
          <w:sz w:val="24"/>
          <w:lang w:val="pl-PL"/>
        </w:rPr>
        <w:t>Karty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na każde inne terytorium wskazane w tym oświadczeniu.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W stosunku do tego terytorium </w:t>
      </w:r>
      <w:r>
        <w:rPr>
          <w:rFonts w:ascii="Times New Roman"/>
          <w:b w:val="false"/>
          <w:i/>
          <w:color w:val="000000"/>
          <w:sz w:val="24"/>
          <w:lang w:val="pl-PL"/>
        </w:rPr>
        <w:t>Karta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wejdzie w życie pierwszego dnia miesiąca następującego po upływie trzech miesięcy od dnia otrzymania oświadczenia przez Sekretarza Generalnego.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Każde oświadczenie sporządzone na podstawie przepisów dwóch poprzednich ustępów może być wycofane odnośnie do każdego terytorium wskazanego w tym oświadczeniu, w drodze powiadomienia skierowanego do Sekretarza Generalnego. Wycofanie to nabierze mocy pierwszego dnia następującego po upływie sześciu miesięcy od dnia otrzymania powiadomienia przez Sekretarza Generalnego.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Artykuł 17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Wypowiedzenie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Żadne państwo nie może wypowiedzieć niniejszej </w:t>
      </w:r>
      <w:r>
        <w:rPr>
          <w:rFonts w:ascii="Times New Roman"/>
          <w:b w:val="false"/>
          <w:i/>
          <w:color w:val="000000"/>
          <w:sz w:val="24"/>
          <w:lang w:val="pl-PL"/>
        </w:rPr>
        <w:t>Karty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przed upływem pięciu lat od dnia wejścia dla niego w życie niniejszej </w:t>
      </w:r>
      <w:r>
        <w:rPr>
          <w:rFonts w:ascii="Times New Roman"/>
          <w:b w:val="false"/>
          <w:i/>
          <w:color w:val="000000"/>
          <w:sz w:val="24"/>
          <w:lang w:val="pl-PL"/>
        </w:rPr>
        <w:t>Karty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Sekretarz Generalny Rady Europy zostanie powiadomiony o wypowiedzeniu z sześciomiesięcznym wyprzedzeniem.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Wypowiedzenie takie nie wpływa na ważność </w:t>
      </w:r>
      <w:r>
        <w:rPr>
          <w:rFonts w:ascii="Times New Roman"/>
          <w:b w:val="false"/>
          <w:i/>
          <w:color w:val="000000"/>
          <w:sz w:val="24"/>
          <w:lang w:val="pl-PL"/>
        </w:rPr>
        <w:t>Karty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w stosunku do innych Stron, pod warunkiem że ich liczba nie będzie mniejsza niż cztery.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Każda Strona może zgodnie z przepisami zawartymi w poprzednim ustępie wypowiedzieć każdy z przyjętych ustępów części I </w:t>
      </w:r>
      <w:r>
        <w:rPr>
          <w:rFonts w:ascii="Times New Roman"/>
          <w:b w:val="false"/>
          <w:i/>
          <w:color w:val="000000"/>
          <w:sz w:val="24"/>
          <w:lang w:val="pl-PL"/>
        </w:rPr>
        <w:t>Karty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, pod warunkiem że liczba i kategoria ustępów, do których przestrzegania Strona będzie zobowiązana, są zgodne z przepisem artykułu 12 ustęp 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W stosunku do każdej Strony, która w wyniku wypowiedzenia któregoś ustępu nie zastosuje się do przepisu artykułu 12 ustęp 1, przyjmuje się, że Strona ta wypowiedziała także </w:t>
      </w:r>
      <w:r>
        <w:rPr>
          <w:rFonts w:ascii="Times New Roman"/>
          <w:b w:val="false"/>
          <w:i/>
          <w:color w:val="000000"/>
          <w:sz w:val="24"/>
          <w:lang w:val="pl-PL"/>
        </w:rPr>
        <w:t>Kartę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Artykuł 18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Notyfikacje</w:t>
      </w:r>
    </w:p>
    <w:p>
      <w:pPr>
        <w:spacing w:before="25" w:after="0"/>
        <w:ind w:left="0"/>
        <w:jc w:val="both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Sekretarz Generalny Rady Europy powiadamia państwa członkowskie Rady o następujących faktach: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both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a.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każdym podpisaniu </w:t>
      </w:r>
      <w:r>
        <w:rPr>
          <w:rFonts w:ascii="Times New Roman"/>
          <w:b w:val="false"/>
          <w:i/>
          <w:color w:val="000000"/>
          <w:sz w:val="24"/>
          <w:lang w:val="pl-PL"/>
        </w:rPr>
        <w:t>Karty</w:t>
      </w:r>
    </w:p>
    <w:p>
      <w:pPr>
        <w:spacing w:after="0"/>
        <w:ind w:left="0"/>
        <w:jc w:val="both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;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b.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złożeniu każdego dokumentu ratyfikacyjnego, przyjęcia lub zatwierdzenia;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both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c.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każdej dacie wejścia w życie niniejszej </w:t>
      </w:r>
      <w:r>
        <w:rPr>
          <w:rFonts w:ascii="Times New Roman"/>
          <w:b w:val="false"/>
          <w:i/>
          <w:color w:val="000000"/>
          <w:sz w:val="24"/>
          <w:lang w:val="pl-PL"/>
        </w:rPr>
        <w:t>Karty</w:t>
      </w:r>
    </w:p>
    <w:p>
      <w:pPr>
        <w:spacing w:after="0"/>
        <w:ind w:left="0"/>
        <w:jc w:val="both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, zgodnie z artykułem 15;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d.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każdym powiadomieniu otrzymanym w związku z zastosowaniem przepisów artykułu 12 ustępy 2 i 3;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e.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każdym powiadomieniu otrzymanym w związku z zastosowaniem przepisów artykułu 13;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both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f.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każdej innej czynności, powiadomieniu lub informacji, które mają związek z niniejszą </w:t>
      </w:r>
      <w:r>
        <w:rPr>
          <w:rFonts w:ascii="Times New Roman"/>
          <w:b w:val="false"/>
          <w:i/>
          <w:color w:val="000000"/>
          <w:sz w:val="24"/>
          <w:lang w:val="pl-PL"/>
        </w:rPr>
        <w:t>Kartą</w:t>
      </w:r>
    </w:p>
    <w:p>
      <w:pPr>
        <w:spacing w:after="0"/>
        <w:ind w:left="0"/>
        <w:jc w:val="both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both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Na dowód czego niżej podpisani, właściwie do tego upełnomocnieni, podpisali niniejszą </w:t>
      </w:r>
      <w:r>
        <w:rPr>
          <w:rFonts w:ascii="Times New Roman"/>
          <w:b w:val="false"/>
          <w:i/>
          <w:color w:val="000000"/>
          <w:sz w:val="24"/>
          <w:lang w:val="pl-PL"/>
        </w:rPr>
        <w:t>Kartę</w:t>
      </w:r>
    </w:p>
    <w:p>
      <w:pPr>
        <w:spacing w:after="0"/>
        <w:ind w:left="0"/>
        <w:jc w:val="both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.</w:t>
      </w:r>
    </w:p>
    <w:p>
      <w:pPr>
        <w:spacing w:before="25" w:after="0"/>
        <w:ind w:left="0"/>
        <w:jc w:val="both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Sporządzono w Strasburgu dnia 15 października 1985 r. w językach angielskim i francuskim, przy czym obydwa teksty mają jednakową moc, w jednym egzemplarzu, który zostanie złożony w archiwum Rady Europy. Sekretarz Generalny Rady Europy przekaże uwierzytelnione kopie wszystkim państwom członkowskim Rady Europy.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both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Po zaznajomieniu się z powyższą </w:t>
      </w:r>
      <w:r>
        <w:rPr>
          <w:rFonts w:ascii="Times New Roman"/>
          <w:b w:val="false"/>
          <w:i/>
          <w:color w:val="000000"/>
          <w:sz w:val="24"/>
          <w:lang w:val="pl-PL"/>
        </w:rPr>
        <w:t>Kartą</w:t>
      </w:r>
    </w:p>
    <w:p>
      <w:pPr>
        <w:spacing w:after="0"/>
        <w:ind w:left="0"/>
        <w:jc w:val="both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, w imieniu Rzeczypospolitej Polskiej oświadczam, że: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-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została ona uznana za słuszną w całości, jak i każde z postanowień w niej zawartych,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-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jest przyjęta, ratyfikowana i potwierdzona,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-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będzie niezmiennie zachowywana.</w:t>
      </w:r>
    </w:p>
    <w:p>
      <w:pPr>
        <w:spacing w:before="25" w:after="0"/>
        <w:ind w:left="0"/>
        <w:jc w:val="both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Na dowód czego wydany został akt niniejszy, opatrzony pieczęcią Rzeczypospolitej Polskiej.</w:t>
      </w:r>
    </w:p>
    <w:p>
      <w:pPr>
        <w:spacing w:before="25" w:after="0"/>
        <w:ind w:left="0"/>
        <w:jc w:val="both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Dano w Warszawie dnia 26 kwietnia 1993 r.</w:t>
      </w:r>
    </w:p>
    <w:p>
      <w:pPr>
        <w:spacing w:before="250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vertAlign w:val="superscript"/>
          <w:lang w:val="pl-PL"/>
        </w:rPr>
        <w:t>1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Tytuł zmieniony przez pkt 1 obwieszczenia Ministra Spraw Zagranicznych z dnia 22 sierpnia 2006 r. o sprostowaniu błędu (Dz.U.06.154.1107).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vertAlign w:val="superscript"/>
          <w:lang w:val="pl-PL"/>
        </w:rPr>
        <w:t>2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Praembuła zmieniona przez pkt 2 obwieszczenia Ministra Spraw Zagranicznych z dnia 22 sierpnia 2006 r. o sprostowaniu błędu (Dz.U.06.154.1107).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vertAlign w:val="superscript"/>
          <w:lang w:val="pl-PL"/>
        </w:rPr>
        <w:t>3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Art. 2 zmieniony przez pkt 2 i 3 obwieszczenia Ministra Spraw Zagranicznych z dnia 22 sierpnia 2006 r. o sprostowaniu błędu (Dz.U.06.154.1107).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vertAlign w:val="superscript"/>
          <w:lang w:val="pl-PL"/>
        </w:rPr>
        <w:t>4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Art. 3 zmieniony przez pkt 2 i 3 obwieszczenia Ministra Spraw Zagranicznych z dnia 22 sierpnia 2006 r. o sprostowaniu błędu (Dz.U.06.154.1107).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vertAlign w:val="superscript"/>
          <w:lang w:val="pl-PL"/>
        </w:rPr>
        <w:t>5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Art. 4 zmieniony przez pkt 2 obwieszczenia Ministra Spraw Zagranicznych z dnia 22 sierpnia 2006 r. o sprostowaniu błędu (Dz.U.06.154.1107).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vertAlign w:val="superscript"/>
          <w:lang w:val="pl-PL"/>
        </w:rPr>
        <w:t>6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Art. 11 zmieniony przez pkt 2 i 3 obwieszczenia Ministra Spraw Zagranicznych z dnia 22 sierpnia 2006 r. o sprostowaniu błędu (Dz.U.06.154.1107).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vertAlign w:val="superscript"/>
          <w:lang w:val="pl-PL"/>
        </w:rPr>
        <w:t>7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Art. 13 zmieniony przez pkt 3 obwieszczenia Ministra Spraw Zagranicznych z dnia 22 sierpnia 2006 r. o sprostowaniu błędu (Dz.U.06.154.1107).</w:t>
      </w:r>
    </w:p>
    <w:p>
      <w:pPr>
        <w:spacing w:after="0"/>
        <w:ind w:left="0"/>
        <w:jc w:val="left"/>
        <w:textAlignment w:val="auto"/>
      </w:pPr>
    </w:p>
    <w:p>
      <w:pPr>
        <w:spacing w:after="0"/>
        <w:ind w:left="0"/>
        <w:jc w:val="left"/>
        <w:textAlignment w:val="auto"/>
      </w:pPr>
    </w:p>
    <w:p>
      <w:pPr>
        <w:spacing w:after="0"/>
        <w:ind w:left="0"/>
        <w:jc w:val="left"/>
        <w:textAlignment w:val="auto"/>
      </w:pP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none"/>
      <w:lvlText w:val=""/>
      <w:lvlJc w:val="left"/>
      <w:pPr>
        <w:ind w:left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="Times New Roman" w:hAnsi="Times New Roman" w:eastAsia="Times New Roman" w:cs="Times New Roman" w:asciiTheme="minorHAnsi" w:hAnsiTheme="minorHAnsi" w:eastAsiaTheme="minorHAnsi" w:cstheme="minorBidi"/>
        <w:sz w:val="24"/>
        <w:szCs w:val="22"/>
        <w:lang w:val="pl-PL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  <w:rPr>
      <w:rFonts w:ascii="Times New Roman" w:hAnsi="Times New Roman" w:eastAsia="Times New Roman" w:cs="Times New Roman"/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erStyle">
    <w:name w:val="HeaderStyle"/>
    <w:pPr>
      <w:spacing w:line="240" w:lineRule="auto"/>
      <w:jc w:val="center"/>
    </w:pPr>
    <w:rPr>
      <w:rFonts w:ascii="Times New Roman" w:hAnsi="Times New Roman" w:eastAsia="Times New Roman" w:cs="Times New Roman"/>
      <w:b/>
      <w:color w:val="000000" w:themeColor="text1"/>
      <w:sz w:val="24"/>
    </w:rPr>
  </w:style>
  <w:style w:type="paragraph" w:styleId="TitleStyle">
    <w:name w:val="TitleStyle"/>
    <w:pPr>
      <w:spacing w:line="240" w:lineRule="auto"/>
      <w:jc w:val="left"/>
    </w:pPr>
    <w:rPr>
      <w:rFonts w:ascii="Times New Roman" w:hAnsi="Times New Roman" w:eastAsia="Times New Roman" w:cs="Times New Roman"/>
      <w:b/>
      <w:color w:val="000000" w:themeColor="text1"/>
      <w:sz w:val="24"/>
    </w:rPr>
  </w:style>
  <w:style w:type="paragraph" w:styleId="TitleCenterStyle">
    <w:name w:val="TitleCenterStyle"/>
    <w:pPr>
      <w:spacing w:line="240" w:lineRule="auto"/>
      <w:jc w:val="center"/>
    </w:pPr>
    <w:rPr>
      <w:rFonts w:ascii="Times New Roman" w:hAnsi="Times New Roman" w:eastAsia="Times New Roman" w:cs="Times New Roman"/>
      <w:b/>
      <w:color w:val="000000" w:themeColor="text1"/>
      <w:sz w:val="24"/>
    </w:rPr>
  </w:style>
  <w:style w:type="paragraph" w:styleId="NormalStyle">
    <w:name w:val="NormalStyle"/>
    <w:pPr>
      <w:spacing w:after="0" w:line="240" w:lineRule="auto"/>
      <w:jc w:val="left"/>
    </w:pPr>
    <w:rPr>
      <w:rFonts w:ascii="Times New Roman" w:hAnsi="Times New Roman" w:eastAsia="Times New Roman" w:cs="Times New Roman"/>
      <w:color w:val="000000" w:themeColor="text1"/>
      <w:sz w:val="24"/>
    </w:rPr>
  </w:style>
  <w:style w:type="paragraph" w:styleId="NormalSpacingStyle">
    <w:name w:val="NormalSpacingStyle"/>
    <w:pPr>
      <w:spacing w:line="240" w:lineRule="auto"/>
      <w:jc w:val="left"/>
    </w:pPr>
    <w:rPr>
      <w:rFonts w:ascii="Times New Roman" w:hAnsi="Times New Roman" w:eastAsia="Times New Roman" w:cs="Times New Roman"/>
      <w:color w:val="000000" w:themeColor="text1"/>
      <w:sz w:val="24"/>
    </w:rPr>
  </w:style>
  <w:style w:type="paragraph" w:styleId="BoldStyle">
    <w:name w:val="BoldStyle"/>
    <w:pPr>
      <w:spacing w:after="0" w:line="240" w:lineRule="auto"/>
      <w:jc w:val="left"/>
    </w:pPr>
    <w:rPr>
      <w:rFonts w:ascii="Times New Roman" w:hAnsi="Times New Roman" w:eastAsia="Times New Roman" w:cs="Times New Roman"/>
      <w:b/>
      <w:color w:val="000000" w:themeColor="text1"/>
      <w:sz w:val="24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