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5.4 (Apache licensed) using REFERENCE JAXB in Eclipse Adoptium Java 21.0.6 on Linux -->
    <w:p>
      <w:pPr>
        <w:pStyle w:val="TitleStyle"/>
      </w:pPr>
      <w:r>
        <w:t>Prawo przedsiębiorców.</w:t>
      </w:r>
    </w:p>
    <w:p>
      <w:pPr>
        <w:pStyle w:val="NormalStyle"/>
      </w:pPr>
      <w:r>
        <w:t>Dz.U.2025.1480 t.j. z dnia 2025.10.28</w:t>
      </w:r>
    </w:p>
    <w:p>
      <w:pPr>
        <w:pStyle w:val="NormalStyle"/>
      </w:pPr>
      <w:r>
        <w:t xml:space="preserve">Status: Akt obowiązujący </w:t>
      </w:r>
    </w:p>
    <w:p>
      <w:pPr>
        <w:pStyle w:val="NormalStyle"/>
      </w:pPr>
      <w:r>
        <w:t>Wersja od: 3 stycznia 2026r.  do: 17 marca 2026r.</w:t>
      </w:r>
    </w:p>
    <w:p>
      <w:pPr>
        <w:spacing w:after="0"/>
        <w:ind w:left="0"/>
        <w:jc w:val="left"/>
        <w:textAlignment w:val="auto"/>
      </w:pPr>
      <w:r>
        <w:br/>
      </w:r>
    </w:p>
    <w:p>
      <w:pPr>
        <w:spacing w:after="0"/>
        <w:ind w:left="0"/>
        <w:jc w:val="left"/>
        <w:textAlignment w:val="auto"/>
      </w:pPr>
      <w:r>
        <w:rPr>
          <w:rFonts w:ascii="Times New Roman"/>
          <w:b/>
          <w:i w:val="false"/>
          <w:color w:val="000000"/>
          <w:sz w:val="24"/>
          <w:lang w:val="pl-PL"/>
        </w:rPr>
        <w:t>Wejście w życie:</w:t>
      </w:r>
    </w:p>
    <w:p>
      <w:pPr>
        <w:spacing w:after="150"/>
        <w:ind w:left="0"/>
        <w:jc w:val="left"/>
        <w:textAlignment w:val="auto"/>
      </w:pPr>
      <w:r>
        <w:rPr>
          <w:rFonts w:ascii="Times New Roman"/>
          <w:b w:val="false"/>
          <w:i w:val="false"/>
          <w:color w:val="000000"/>
          <w:sz w:val="24"/>
          <w:lang w:val="pl-PL"/>
        </w:rPr>
        <w:t>30 kwietnia 2018 r.</w:t>
      </w:r>
      <w:r>
        <w:rPr>
          <w:rFonts w:ascii="Times New Roman"/>
          <w:b w:val="false"/>
          <w:i w:val="false"/>
          <w:color w:val="000000"/>
          <w:sz w:val="24"/>
          <w:lang w:val="pl-PL"/>
        </w:rPr>
        <w:t xml:space="preserve">, </w:t>
      </w:r>
      <w:r>
        <w:rPr>
          <w:rFonts w:ascii="Times New Roman"/>
          <w:b w:val="false"/>
          <w:i w:val="false"/>
          <w:color w:val="000000"/>
          <w:sz w:val="24"/>
          <w:lang w:val="pl-PL"/>
        </w:rPr>
        <w:t>1 lutego 2019 r.</w:t>
      </w:r>
    </w:p>
    <w:p>
      <w:pPr>
        <w:spacing w:after="0"/>
        <w:ind w:left="0"/>
        <w:jc w:val="left"/>
        <w:textAlignment w:val="auto"/>
      </w:pPr>
      <w:r>
        <w:rPr>
          <w:rFonts w:ascii="Times New Roman"/>
          <w:b/>
          <w:i w:val="false"/>
          <w:color w:val="000000"/>
          <w:sz w:val="24"/>
          <w:lang w:val="pl-PL"/>
        </w:rPr>
        <w:t xml:space="preserve"> zobacz: </w:t>
      </w:r>
    </w:p>
    <w:p>
      <w:pPr>
        <w:numPr>
          <w:ilvl w:val="1"/>
          <w:numId w:val="1"/>
        </w:numPr>
        <w:spacing w:after="0"/>
        <w:ind w:left="0"/>
        <w:jc w:val="left"/>
        <w:textAlignment w:val="auto"/>
      </w:pPr>
      <w:r>
        <w:rPr>
          <w:rFonts w:ascii="Times New Roman"/>
          <w:b w:val="false"/>
          <w:i w:val="false"/>
          <w:color w:val="000000"/>
          <w:sz w:val="24"/>
          <w:lang w:val="pl-PL"/>
        </w:rPr>
        <w:t xml:space="preserve"> Dz.U.2018.650 </w:t>
      </w:r>
      <w:r>
        <w:rPr>
          <w:rFonts w:ascii="Times New Roman"/>
          <w:b w:val="false"/>
          <w:i w:val="false"/>
          <w:color w:val="000000"/>
          <w:sz w:val="24"/>
          <w:lang w:val="pl-PL"/>
        </w:rPr>
        <w:t xml:space="preserve">; </w:t>
      </w:r>
      <w:r>
        <w:rPr>
          <w:rFonts w:ascii="Times New Roman"/>
          <w:b w:val="false"/>
          <w:i w:val="false"/>
          <w:color w:val="000000"/>
          <w:sz w:val="24"/>
          <w:lang w:val="pl-PL"/>
        </w:rPr>
        <w:t xml:space="preserve"> art. 1 ust. 1 </w:t>
      </w:r>
    </w:p>
    <w:p>
      <w:pPr>
        <w:spacing w:after="0"/>
        <w:ind w:left="0"/>
        <w:jc w:val="left"/>
        <w:textAlignment w:val="auto"/>
      </w:pPr>
    </w:p>
    <w:p>
      <w:pPr>
        <w:numPr>
          <w:ilvl w:val="0"/>
          <w:numId w:val="1"/>
        </w:numPr>
        <w:spacing w:after="0"/>
        <w:ind w:left="0"/>
        <w:jc w:val="left"/>
        <w:textAlignment w:val="auto"/>
      </w:pPr>
    </w:p>
    <w:p>
      <w:pPr>
        <w:spacing w:after="0"/>
        <w:ind w:left="0"/>
        <w:jc w:val="left"/>
        <w:textAlignment w:val="auto"/>
      </w:pPr>
      <w:r>
        <w:br/>
      </w:r>
    </w:p>
    <w:p>
      <w:pPr>
        <w:spacing w:before="60" w:after="0"/>
        <w:ind w:left="0"/>
        <w:jc w:val="center"/>
        <w:textAlignment w:val="auto"/>
      </w:pPr>
      <w:r>
        <w:rPr>
          <w:rFonts w:ascii="Times New Roman"/>
          <w:b/>
          <w:i w:val="false"/>
          <w:color w:val="000000"/>
          <w:sz w:val="24"/>
          <w:lang w:val="pl-PL"/>
        </w:rPr>
        <w:t>USTAWA</w:t>
      </w:r>
    </w:p>
    <w:p>
      <w:pPr>
        <w:spacing w:before="80" w:after="0"/>
        <w:ind w:left="0"/>
        <w:jc w:val="center"/>
        <w:textAlignment w:val="auto"/>
      </w:pPr>
      <w:r>
        <w:rPr>
          <w:rFonts w:ascii="Times New Roman"/>
          <w:b/>
          <w:i w:val="false"/>
          <w:color w:val="000000"/>
          <w:sz w:val="24"/>
          <w:lang w:val="pl-PL"/>
        </w:rPr>
        <w:t>z dnia 6 marca 2018 r.</w:t>
      </w:r>
    </w:p>
    <w:p>
      <w:pPr>
        <w:spacing w:before="80" w:after="0"/>
        <w:ind w:left="0"/>
        <w:jc w:val="center"/>
        <w:textAlignment w:val="auto"/>
      </w:pPr>
      <w:r>
        <w:rPr>
          <w:rFonts w:ascii="Times New Roman"/>
          <w:b/>
          <w:i w:val="false"/>
          <w:color w:val="000000"/>
          <w:sz w:val="24"/>
          <w:lang w:val="pl-PL"/>
        </w:rPr>
        <w:t xml:space="preserve">Prawo przedsiębiorców </w:t>
      </w:r>
      <w:r>
        <w:rPr>
          <w:rFonts w:ascii="Times New Roman"/>
          <w:b/>
          <w:i w:val="false"/>
          <w:color w:val="000000"/>
          <w:sz w:val="24"/>
          <w:vertAlign w:val="superscript"/>
          <w:lang w:val="pl-PL"/>
        </w:rPr>
        <w:t>1</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Kierując się konstytucyjną zasadą wolności działalności gospodarczej, a także innymi zasadami konstytucyjnymi mającymi znaczenie dla przedsiębiorców i wykonywanej przez nich działalności gospodarczej, w tym zasadami praworządności, pewności prawa, niedyskryminacji oraz zrównoważonego rozwoju,</w:t>
      </w:r>
    </w:p>
    <w:p>
      <w:pPr>
        <w:spacing w:before="25" w:after="0"/>
        <w:ind w:left="0"/>
        <w:jc w:val="left"/>
        <w:textAlignment w:val="auto"/>
      </w:pPr>
      <w:r>
        <w:rPr>
          <w:rFonts w:ascii="Times New Roman"/>
          <w:b w:val="false"/>
          <w:i w:val="false"/>
          <w:color w:val="000000"/>
          <w:sz w:val="24"/>
          <w:lang w:val="pl-PL"/>
        </w:rPr>
        <w:t>uznając, że ochrona i wspieranie wolności działalności gospodarczej przyczyniają się do rozwoju gospodarki oraz do wzrostu dobrobytu społecznego,</w:t>
      </w:r>
    </w:p>
    <w:p>
      <w:pPr>
        <w:spacing w:before="25" w:after="0"/>
        <w:ind w:left="0"/>
        <w:jc w:val="left"/>
        <w:textAlignment w:val="auto"/>
      </w:pPr>
      <w:r>
        <w:rPr>
          <w:rFonts w:ascii="Times New Roman"/>
          <w:b w:val="false"/>
          <w:i w:val="false"/>
          <w:color w:val="000000"/>
          <w:sz w:val="24"/>
          <w:lang w:val="pl-PL"/>
        </w:rPr>
        <w:t>dążąc do zagwarantowania praw przedsiębiorców oraz uwzględniając potrzebę zapewnienia ciągłego rozwoju działalności gospodarczej w warunkach wolnej konkurencji,</w:t>
      </w:r>
    </w:p>
    <w:p>
      <w:pPr>
        <w:spacing w:before="25" w:after="0"/>
        <w:ind w:left="0"/>
        <w:jc w:val="left"/>
        <w:textAlignment w:val="auto"/>
      </w:pPr>
      <w:r>
        <w:rPr>
          <w:rFonts w:ascii="Times New Roman"/>
          <w:b w:val="false"/>
          <w:i w:val="false"/>
          <w:color w:val="000000"/>
          <w:sz w:val="24"/>
          <w:lang w:val="pl-PL"/>
        </w:rPr>
        <w:t>uchwala się, co następuje:</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1</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w:t>
      </w:r>
      <w:r>
        <w:rPr>
          <w:rFonts w:ascii="Times New Roman"/>
          <w:b/>
          <w:i w:val="false"/>
          <w:color w:val="000000"/>
          <w:sz w:val="24"/>
          <w:lang w:val="pl-PL"/>
        </w:rPr>
        <w:t xml:space="preserve"> [Zakres ustawy]</w:t>
      </w:r>
    </w:p>
    <w:p>
      <w:pPr>
        <w:spacing w:after="0"/>
        <w:ind w:left="0"/>
        <w:jc w:val="left"/>
        <w:textAlignment w:val="auto"/>
      </w:pPr>
      <w:r>
        <w:rPr>
          <w:rFonts w:ascii="Times New Roman"/>
          <w:b w:val="false"/>
          <w:i w:val="false"/>
          <w:color w:val="000000"/>
          <w:sz w:val="24"/>
          <w:lang w:val="pl-PL"/>
        </w:rPr>
        <w:t> Ustawa określa zasady podejmowania, wykonywania i zakończenia działalności gospodarczej na terytorium Rzeczypospolitej Polskiej, w tym prawa i obowiązki przedsiębiorców oraz zadania organów władzy publicznej w tym zakresie.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w:t>
      </w:r>
      <w:r>
        <w:rPr>
          <w:rFonts w:ascii="Times New Roman"/>
          <w:b/>
          <w:i w:val="false"/>
          <w:color w:val="000000"/>
          <w:sz w:val="24"/>
          <w:lang w:val="pl-PL"/>
        </w:rPr>
        <w:t xml:space="preserve"> [Wolność działalności gospodarczej i równość przedsiębiorców]</w:t>
      </w:r>
    </w:p>
    <w:p>
      <w:pPr>
        <w:spacing w:after="0"/>
        <w:ind w:left="0"/>
        <w:jc w:val="left"/>
        <w:textAlignment w:val="auto"/>
      </w:pPr>
      <w:r>
        <w:rPr>
          <w:rFonts w:ascii="Times New Roman"/>
          <w:b w:val="false"/>
          <w:i w:val="false"/>
          <w:color w:val="000000"/>
          <w:sz w:val="24"/>
          <w:lang w:val="pl-PL"/>
        </w:rPr>
        <w:t> Podejmowanie, wykonywanie i zakończenie działalności gospodarczej jest wolne dla każdego na równych prawach.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w:t>
      </w:r>
      <w:r>
        <w:rPr>
          <w:rFonts w:ascii="Times New Roman"/>
          <w:b/>
          <w:i w:val="false"/>
          <w:color w:val="000000"/>
          <w:sz w:val="24"/>
          <w:lang w:val="pl-PL"/>
        </w:rPr>
        <w:t xml:space="preserve"> [Definicja działalności gospodarczej]</w:t>
      </w:r>
    </w:p>
    <w:p>
      <w:pPr>
        <w:spacing w:after="0"/>
        <w:ind w:left="0"/>
        <w:jc w:val="left"/>
        <w:textAlignment w:val="auto"/>
      </w:pPr>
      <w:r>
        <w:rPr>
          <w:rFonts w:ascii="Times New Roman"/>
          <w:b w:val="false"/>
          <w:i w:val="false"/>
          <w:color w:val="000000"/>
          <w:sz w:val="24"/>
          <w:lang w:val="pl-PL"/>
        </w:rPr>
        <w:t> Działalnością gospodarczą jest zorganizowana działalność zarobkowa, wykonywana we własnym imieniu i w sposób ciągły.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w:t>
      </w:r>
      <w:r>
        <w:rPr>
          <w:rFonts w:ascii="Times New Roman"/>
          <w:b/>
          <w:i w:val="false"/>
          <w:color w:val="000000"/>
          <w:sz w:val="24"/>
          <w:lang w:val="pl-PL"/>
        </w:rPr>
        <w:t xml:space="preserve"> [Definicja przedsiębiorcy]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Przedsiębiorcą jest osoba fizyczna, osoba prawna lub jednostka organizacyjna niebędąca osobą prawną, której odrębna </w:t>
      </w:r>
      <w:r>
        <w:rPr>
          <w:rFonts w:ascii="Times New Roman"/>
          <w:b w:val="false"/>
          <w:i w:val="false"/>
          <w:color w:val="1b1b1b"/>
          <w:sz w:val="24"/>
          <w:lang w:val="pl-PL"/>
        </w:rPr>
        <w:t>ustawa</w:t>
      </w:r>
      <w:r>
        <w:rPr>
          <w:rFonts w:ascii="Times New Roman"/>
          <w:b w:val="false"/>
          <w:i w:val="false"/>
          <w:color w:val="000000"/>
          <w:sz w:val="24"/>
          <w:lang w:val="pl-PL"/>
        </w:rPr>
        <w:t xml:space="preserve"> przyznaje zdolność prawną, wykonująca działalność gospodarczą.</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Przedsiębiorcami są także wspólnicy spółki cywilnej w zakresie wykonywanej przez nich działalności gospodarczej.</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Zasady podejmowania, wykonywania i zakończenia działalności gospodarczej przez osoby zagraniczne określają odrębne </w:t>
      </w:r>
      <w:r>
        <w:rPr>
          <w:rFonts w:ascii="Times New Roman"/>
          <w:b w:val="false"/>
          <w:i w:val="false"/>
          <w:color w:val="1b1b1b"/>
          <w:sz w:val="24"/>
          <w:lang w:val="pl-PL"/>
        </w:rPr>
        <w:t>przepisy</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w:t>
      </w:r>
      <w:r>
        <w:rPr>
          <w:rFonts w:ascii="Times New Roman"/>
          <w:b/>
          <w:i w:val="false"/>
          <w:color w:val="000000"/>
          <w:sz w:val="24"/>
          <w:lang w:val="pl-PL"/>
        </w:rPr>
        <w:t xml:space="preserve"> [Działalność nieewidencjonowana]</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w:t>
      </w:r>
      <w:r>
        <w:rPr>
          <w:rFonts w:ascii="Times New Roman"/>
          <w:b w:val="false"/>
          <w:i w:val="false"/>
          <w:color w:val="000000"/>
          <w:sz w:val="24"/>
          <w:lang w:val="pl-PL"/>
        </w:rPr>
        <w:t xml:space="preserve">  Nie stanowi działalności gospodarczej działalność wykonywana przez osobę fizyczną, której przychód należny z tej działalności nie przekracza w żadnym kwartale 225 % kwoty minimalnego wynagrodzenia,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10 października 2002 r. o minimalnym wynagrodzeniu za pracę (Dz. U. z 2024 r. poz. 1773), i która w okresie ostatnich 60 miesięcy nie wykonywała działalności gospodarczej.</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Osoba wykonująca działalność, o której mowa w </w:t>
      </w:r>
      <w:r>
        <w:rPr>
          <w:rFonts w:ascii="Times New Roman"/>
          <w:b w:val="false"/>
          <w:i w:val="false"/>
          <w:color w:val="1b1b1b"/>
          <w:sz w:val="24"/>
          <w:lang w:val="pl-PL"/>
        </w:rPr>
        <w:t>ust. 1</w:t>
      </w:r>
      <w:r>
        <w:rPr>
          <w:rFonts w:ascii="Times New Roman"/>
          <w:b w:val="false"/>
          <w:i w:val="false"/>
          <w:color w:val="000000"/>
          <w:sz w:val="24"/>
          <w:lang w:val="pl-PL"/>
        </w:rPr>
        <w:t>, może złożyć wniosek o wpis do Centralnej Ewidencji i Informacji o Działalności Gospodarczej. Działalność ta staje się działalnością gospodarczą z dniem określonym we wniosku.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w:t>
      </w:r>
      <w:r>
        <w:rPr>
          <w:rFonts w:ascii="Times New Roman"/>
          <w:b w:val="false"/>
          <w:i w:val="false"/>
          <w:color w:val="000000"/>
          <w:sz w:val="24"/>
          <w:lang w:val="pl-PL"/>
        </w:rPr>
        <w:t xml:space="preserve">  Jeżeli przychód należny z działalności, o której mowa w </w:t>
      </w:r>
      <w:r>
        <w:rPr>
          <w:rFonts w:ascii="Times New Roman"/>
          <w:b w:val="false"/>
          <w:i w:val="false"/>
          <w:color w:val="1b1b1b"/>
          <w:sz w:val="24"/>
          <w:lang w:val="pl-PL"/>
        </w:rPr>
        <w:t>ust. 1</w:t>
      </w:r>
      <w:r>
        <w:rPr>
          <w:rFonts w:ascii="Times New Roman"/>
          <w:b w:val="false"/>
          <w:i w:val="false"/>
          <w:color w:val="000000"/>
          <w:sz w:val="24"/>
          <w:lang w:val="pl-PL"/>
        </w:rPr>
        <w:t xml:space="preserve">, przekroczył w danym kwartale wysokość określoną w </w:t>
      </w:r>
      <w:r>
        <w:rPr>
          <w:rFonts w:ascii="Times New Roman"/>
          <w:b w:val="false"/>
          <w:i w:val="false"/>
          <w:color w:val="1b1b1b"/>
          <w:sz w:val="24"/>
          <w:lang w:val="pl-PL"/>
        </w:rPr>
        <w:t>ust. 1</w:t>
      </w:r>
      <w:r>
        <w:rPr>
          <w:rFonts w:ascii="Times New Roman"/>
          <w:b w:val="false"/>
          <w:i w:val="false"/>
          <w:color w:val="000000"/>
          <w:sz w:val="24"/>
          <w:lang w:val="pl-PL"/>
        </w:rPr>
        <w:t xml:space="preserve">, działalność ta staje się działalnością gospodarczą, począwszy od dnia, w którym nastąpiło przekroczenie wysokości, o którym mowa w </w:t>
      </w:r>
      <w:r>
        <w:rPr>
          <w:rFonts w:ascii="Times New Roman"/>
          <w:b w:val="false"/>
          <w:i w:val="false"/>
          <w:color w:val="1b1b1b"/>
          <w:sz w:val="24"/>
          <w:lang w:val="pl-PL"/>
        </w:rPr>
        <w:t>ust. 1</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 przypadku, o którym mowa w </w:t>
      </w:r>
      <w:r>
        <w:rPr>
          <w:rFonts w:ascii="Times New Roman"/>
          <w:b w:val="false"/>
          <w:i w:val="false"/>
          <w:color w:val="1b1b1b"/>
          <w:sz w:val="24"/>
          <w:lang w:val="pl-PL"/>
        </w:rPr>
        <w:t>ust. 3</w:t>
      </w:r>
      <w:r>
        <w:rPr>
          <w:rFonts w:ascii="Times New Roman"/>
          <w:b w:val="false"/>
          <w:i w:val="false"/>
          <w:color w:val="000000"/>
          <w:sz w:val="24"/>
          <w:lang w:val="pl-PL"/>
        </w:rPr>
        <w:t xml:space="preserve">, osoba wykonująca działalność gospodarczą składa wniosek o wpis do Centralnej Ewidencji i Informacji o Działalności Gospodarczej w terminie 7 dni od dnia, w którym nastąpiło przekroczenie wysokości, o którym mowa w </w:t>
      </w:r>
      <w:r>
        <w:rPr>
          <w:rFonts w:ascii="Times New Roman"/>
          <w:b w:val="false"/>
          <w:i w:val="false"/>
          <w:color w:val="1b1b1b"/>
          <w:sz w:val="24"/>
          <w:lang w:val="pl-PL"/>
        </w:rPr>
        <w:t>ust. 1</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Przepisu </w:t>
      </w:r>
      <w:r>
        <w:rPr>
          <w:rFonts w:ascii="Times New Roman"/>
          <w:b w:val="false"/>
          <w:i w:val="false"/>
          <w:color w:val="1b1b1b"/>
          <w:sz w:val="24"/>
          <w:lang w:val="pl-PL"/>
        </w:rPr>
        <w:t>ust. 1</w:t>
      </w:r>
      <w:r>
        <w:rPr>
          <w:rFonts w:ascii="Times New Roman"/>
          <w:b w:val="false"/>
          <w:i w:val="false"/>
          <w:color w:val="000000"/>
          <w:sz w:val="24"/>
          <w:lang w:val="pl-PL"/>
        </w:rPr>
        <w:t xml:space="preserve"> nie stosuje się do działalności wykonywanej w ramach umowy spółki cywilnej.</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Przez przychód należny, o którym mowa w </w:t>
      </w:r>
      <w:r>
        <w:rPr>
          <w:rFonts w:ascii="Times New Roman"/>
          <w:b w:val="false"/>
          <w:i w:val="false"/>
          <w:color w:val="1b1b1b"/>
          <w:sz w:val="24"/>
          <w:lang w:val="pl-PL"/>
        </w:rPr>
        <w:t>ust. 1</w:t>
      </w:r>
      <w:r>
        <w:rPr>
          <w:rFonts w:ascii="Times New Roman"/>
          <w:b w:val="false"/>
          <w:i w:val="false"/>
          <w:color w:val="000000"/>
          <w:sz w:val="24"/>
          <w:lang w:val="pl-PL"/>
        </w:rPr>
        <w:t>, rozumie się kwoty należne, choćby nie zostały faktycznie otrzymane, po wyłączeniu wartości zwróconych towarów, udzielonych bonifikat i skont.</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Przepisu </w:t>
      </w:r>
      <w:r>
        <w:rPr>
          <w:rFonts w:ascii="Times New Roman"/>
          <w:b w:val="false"/>
          <w:i w:val="false"/>
          <w:color w:val="1b1b1b"/>
          <w:sz w:val="24"/>
          <w:lang w:val="pl-PL"/>
        </w:rPr>
        <w:t>ust. 1</w:t>
      </w:r>
      <w:r>
        <w:rPr>
          <w:rFonts w:ascii="Times New Roman"/>
          <w:b w:val="false"/>
          <w:i w:val="false"/>
          <w:color w:val="000000"/>
          <w:sz w:val="24"/>
          <w:lang w:val="pl-PL"/>
        </w:rPr>
        <w:t xml:space="preserve"> nie stosuje się do działalności wykonywanej przez osoby fizyczne będące osobami zagranicznymi innymi niż wymienione w </w:t>
      </w:r>
      <w:r>
        <w:rPr>
          <w:rFonts w:ascii="Times New Roman"/>
          <w:b w:val="false"/>
          <w:i w:val="false"/>
          <w:color w:val="1b1b1b"/>
          <w:sz w:val="24"/>
          <w:lang w:val="pl-PL"/>
        </w:rPr>
        <w:t>art. 4 ust.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ustawy z dnia 6 marca 2018 r. o zasadach uczestnictwa przedsiębiorców zagranicznych i innych osób zagranicznych w obrocie gospodarczym na terytorium Rzeczypospolitej Polskiej (Dz. U. z 2025 r. poz. 89, 619 i 621).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w:t>
      </w:r>
      <w:r>
        <w:rPr>
          <w:rFonts w:ascii="Times New Roman"/>
          <w:b/>
          <w:i w:val="false"/>
          <w:color w:val="000000"/>
          <w:sz w:val="24"/>
          <w:lang w:val="pl-PL"/>
        </w:rPr>
        <w:t xml:space="preserve"> [Rodzaje działalności gospodarczej wyłączone spod regulacji]</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Przepisów ustawy nie stosuje się do:</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działalności wytwórczej w rolnictwie w zakresie upraw rolnych oraz chowu i hodowli zwierząt, ogrodnictwa, warzywnictwa, leśnictwa i rybactwa śródlądowego;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wynajmowania przez rolników pokoi, sprzedaży posiłków domowych i świadczenia w gospodarstwach rolnych innych usług związanych z pobytem turystów;</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wyrobu wina przez producentów wina w rozumieniu </w:t>
      </w:r>
      <w:r>
        <w:rPr>
          <w:rFonts w:ascii="Times New Roman"/>
          <w:b w:val="false"/>
          <w:i w:val="false"/>
          <w:color w:val="1b1b1b"/>
          <w:sz w:val="24"/>
          <w:lang w:val="pl-PL"/>
        </w:rPr>
        <w:t>art. 2 pkt 23</w:t>
      </w:r>
      <w:r>
        <w:rPr>
          <w:rFonts w:ascii="Times New Roman"/>
          <w:b w:val="false"/>
          <w:i w:val="false"/>
          <w:color w:val="000000"/>
          <w:sz w:val="24"/>
          <w:lang w:val="pl-PL"/>
        </w:rPr>
        <w:t xml:space="preserve"> ustawy z dnia 2 grudnia 2021 r. o wyrobach winiarskich (Dz. U. z 2023 r. poz. 550 oraz z 2025 r. poz. 769) będących rolnikami wyrabiającymi mniej niż 100 hektolitrów wina w roku winiarskim wyłącznie z winogron pochodzących z własnych upraw winorośli;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działalności rolników w zakresie sprzedaży, o której mowa w </w:t>
      </w:r>
      <w:r>
        <w:rPr>
          <w:rFonts w:ascii="Times New Roman"/>
          <w:b w:val="false"/>
          <w:i w:val="false"/>
          <w:color w:val="1b1b1b"/>
          <w:sz w:val="24"/>
          <w:lang w:val="pl-PL"/>
        </w:rPr>
        <w:t>art. 20 ust. 1c</w:t>
      </w:r>
      <w:r>
        <w:rPr>
          <w:rFonts w:ascii="Times New Roman"/>
          <w:b w:val="false"/>
          <w:i w:val="false"/>
          <w:color w:val="000000"/>
          <w:sz w:val="24"/>
          <w:lang w:val="pl-PL"/>
        </w:rPr>
        <w:t xml:space="preserve"> ustawy z dnia 26 lipca 1991 r. o podatku dochodowym od osób fizycznych (Dz. U. z 2025 r. poz. 163, z późn. zm.);</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działalności prowadzonej przez koła gospodyń wiejskich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9 listopada 2018 r. o kołach gospodyń wiejskich (Dz. U. z 2025 r. poz. 310), które spełniają warunki, o których mowa w </w:t>
      </w:r>
      <w:r>
        <w:rPr>
          <w:rFonts w:ascii="Times New Roman"/>
          <w:b w:val="false"/>
          <w:i w:val="false"/>
          <w:color w:val="1b1b1b"/>
          <w:sz w:val="24"/>
          <w:lang w:val="pl-PL"/>
        </w:rPr>
        <w:t>art. 24 ust. 1</w:t>
      </w:r>
      <w:r>
        <w:rPr>
          <w:rFonts w:ascii="Times New Roman"/>
          <w:b w:val="false"/>
          <w:i w:val="false"/>
          <w:color w:val="000000"/>
          <w:sz w:val="24"/>
          <w:lang w:val="pl-PL"/>
        </w:rPr>
        <w:t xml:space="preserve"> tej ustawy.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Do działalności gospodarczej polegającej na świadczeniu usług stosuje się odpowiednio przepisy </w:t>
      </w:r>
      <w:r>
        <w:rPr>
          <w:rFonts w:ascii="Times New Roman"/>
          <w:b w:val="false"/>
          <w:i w:val="false"/>
          <w:color w:val="1b1b1b"/>
          <w:sz w:val="24"/>
          <w:lang w:val="pl-PL"/>
        </w:rPr>
        <w:t>art. 7-11</w:t>
      </w:r>
      <w:r>
        <w:rPr>
          <w:rFonts w:ascii="Times New Roman"/>
          <w:b w:val="false"/>
          <w:i w:val="false"/>
          <w:color w:val="000000"/>
          <w:sz w:val="24"/>
          <w:lang w:val="pl-PL"/>
        </w:rPr>
        <w:t xml:space="preserve"> i </w:t>
      </w:r>
      <w:r>
        <w:rPr>
          <w:rFonts w:ascii="Times New Roman"/>
          <w:b w:val="false"/>
          <w:i w:val="false"/>
          <w:color w:val="1b1b1b"/>
          <w:sz w:val="24"/>
          <w:lang w:val="pl-PL"/>
        </w:rPr>
        <w:t>rozdziału 6</w:t>
      </w:r>
      <w:r>
        <w:rPr>
          <w:rFonts w:ascii="Times New Roman"/>
          <w:b w:val="false"/>
          <w:i w:val="false"/>
          <w:color w:val="000000"/>
          <w:sz w:val="24"/>
          <w:lang w:val="pl-PL"/>
        </w:rPr>
        <w:t xml:space="preserve"> ustawy z dnia 6 marca 2018 r. o zasadach uczestnictwa przedsiębiorców zagranicznych i innych osób zagranicznych w obrocie gospodarczym na terytorium Rzeczypospolitej Polskiej.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w:t>
      </w:r>
      <w:r>
        <w:rPr>
          <w:rFonts w:ascii="Times New Roman"/>
          <w:b/>
          <w:i w:val="false"/>
          <w:color w:val="000000"/>
          <w:sz w:val="24"/>
          <w:lang w:val="pl-PL"/>
        </w:rPr>
        <w:t xml:space="preserve"> [Definicje legalne]</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Użyte w ustawie określenia oznaczają:</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mikroprzedsiębiorca - przedsiębiorcę, który w co najmniej jednym roku z dwóch ostatnich lat obrotowych spełniał łącznie następujące warunki:</w:t>
      </w:r>
    </w:p>
    <w:p>
      <w:pPr>
        <w:spacing w:after="0"/>
        <w:ind w:left="746"/>
        <w:jc w:val="left"/>
        <w:textAlignment w:val="auto"/>
      </w:pPr>
      <w:r>
        <w:rPr>
          <w:rFonts w:ascii="Times New Roman"/>
          <w:b w:val="false"/>
          <w:i w:val="false"/>
          <w:color w:val="000000"/>
          <w:sz w:val="24"/>
          <w:lang w:val="pl-PL"/>
        </w:rPr>
        <w:t>a)</w:t>
      </w:r>
      <w:r>
        <w:rPr>
          <w:rFonts w:ascii="Times New Roman"/>
          <w:b w:val="false"/>
          <w:i w:val="false"/>
          <w:color w:val="000000"/>
          <w:sz w:val="24"/>
          <w:lang w:val="pl-PL"/>
        </w:rPr>
        <w:t xml:space="preserve"> zatrudniał średniorocznie mniej niż 10 pracowników oraz</w:t>
      </w:r>
    </w:p>
    <w:p>
      <w:pPr>
        <w:spacing w:after="0"/>
        <w:ind w:left="746"/>
        <w:jc w:val="left"/>
        <w:textAlignment w:val="auto"/>
      </w:pPr>
      <w:r>
        <w:rPr>
          <w:rFonts w:ascii="Times New Roman"/>
          <w:b w:val="false"/>
          <w:i w:val="false"/>
          <w:color w:val="000000"/>
          <w:sz w:val="24"/>
          <w:lang w:val="pl-PL"/>
        </w:rPr>
        <w:t>b)</w:t>
      </w:r>
      <w:r>
        <w:rPr>
          <w:rFonts w:ascii="Times New Roman"/>
          <w:b w:val="false"/>
          <w:i w:val="false"/>
          <w:color w:val="000000"/>
          <w:sz w:val="24"/>
          <w:lang w:val="pl-PL"/>
        </w:rPr>
        <w:t xml:space="preserve"> osiągnął roczny obrót netto ze sprzedaży towarów, wyrobów i usług oraz z operacji finansowych nieprzekraczający równowartości w złotych 2 milionów euro, lub sumy aktywów jego bilansu sporządzonego na koniec jednego z tych lat nie przekroczyły równowartości w złotych 2 milionów euro;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mały przedsiębiorca - przedsiębiorcę, który w co najmniej jednym roku z dwóch ostatnich lat obrotowych spełniał łącznie następujące warunki:</w:t>
      </w:r>
    </w:p>
    <w:p>
      <w:pPr>
        <w:spacing w:after="0"/>
        <w:ind w:left="746"/>
        <w:jc w:val="left"/>
        <w:textAlignment w:val="auto"/>
      </w:pPr>
      <w:r>
        <w:rPr>
          <w:rFonts w:ascii="Times New Roman"/>
          <w:b w:val="false"/>
          <w:i w:val="false"/>
          <w:color w:val="000000"/>
          <w:sz w:val="24"/>
          <w:lang w:val="pl-PL"/>
        </w:rPr>
        <w:t>a)</w:t>
      </w:r>
      <w:r>
        <w:rPr>
          <w:rFonts w:ascii="Times New Roman"/>
          <w:b w:val="false"/>
          <w:i w:val="false"/>
          <w:color w:val="000000"/>
          <w:sz w:val="24"/>
          <w:lang w:val="pl-PL"/>
        </w:rPr>
        <w:t xml:space="preserve"> zatrudniał średniorocznie mniej niż 50 pracowników oraz</w:t>
      </w:r>
    </w:p>
    <w:p>
      <w:pPr>
        <w:spacing w:after="0"/>
        <w:ind w:left="746"/>
        <w:jc w:val="left"/>
        <w:textAlignment w:val="auto"/>
      </w:pPr>
      <w:r>
        <w:rPr>
          <w:rFonts w:ascii="Times New Roman"/>
          <w:b w:val="false"/>
          <w:i w:val="false"/>
          <w:color w:val="000000"/>
          <w:sz w:val="24"/>
          <w:lang w:val="pl-PL"/>
        </w:rPr>
        <w:t>b)</w:t>
      </w:r>
      <w:r>
        <w:rPr>
          <w:rFonts w:ascii="Times New Roman"/>
          <w:b w:val="false"/>
          <w:i w:val="false"/>
          <w:color w:val="000000"/>
          <w:sz w:val="24"/>
          <w:lang w:val="pl-PL"/>
        </w:rPr>
        <w:t xml:space="preserve"> osiągnął roczny obrót netto ze sprzedaży towarów, wyrobów i usług oraz z operacji finansowych nieprzekraczający równowartości w złotych 10 milionów euro, lub sumy aktywów jego bilansu sporządzonego na koniec jednego z tych lat nie przekroczyły równowartości w złotych 10 milionów euro</w:t>
      </w:r>
    </w:p>
    <w:p>
      <w:pPr>
        <w:spacing w:before="25" w:after="0"/>
        <w:ind w:left="373"/>
        <w:jc w:val="left"/>
        <w:textAlignment w:val="auto"/>
      </w:pPr>
      <w:r>
        <w:rPr>
          <w:rFonts w:ascii="Times New Roman"/>
          <w:b w:val="false"/>
          <w:i w:val="false"/>
          <w:color w:val="000000"/>
          <w:sz w:val="24"/>
          <w:lang w:val="pl-PL"/>
        </w:rPr>
        <w:t>- i który nie jest mikroprzedsiębiorcą;</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średni przedsiębiorca - przedsiębiorcę, który w co najmniej jednym roku z dwóch ostatnich lat obrotowych spełniał łącznie następujące warunki:</w:t>
      </w:r>
    </w:p>
    <w:p>
      <w:pPr>
        <w:spacing w:after="0"/>
        <w:ind w:left="746"/>
        <w:jc w:val="left"/>
        <w:textAlignment w:val="auto"/>
      </w:pPr>
      <w:r>
        <w:rPr>
          <w:rFonts w:ascii="Times New Roman"/>
          <w:b w:val="false"/>
          <w:i w:val="false"/>
          <w:color w:val="000000"/>
          <w:sz w:val="24"/>
          <w:lang w:val="pl-PL"/>
        </w:rPr>
        <w:t>a)</w:t>
      </w:r>
      <w:r>
        <w:rPr>
          <w:rFonts w:ascii="Times New Roman"/>
          <w:b w:val="false"/>
          <w:i w:val="false"/>
          <w:color w:val="000000"/>
          <w:sz w:val="24"/>
          <w:lang w:val="pl-PL"/>
        </w:rPr>
        <w:t xml:space="preserve"> zatrudniał średniorocznie mniej niż 250 pracowników oraz</w:t>
      </w:r>
    </w:p>
    <w:p>
      <w:pPr>
        <w:spacing w:after="0"/>
        <w:ind w:left="746"/>
        <w:jc w:val="left"/>
        <w:textAlignment w:val="auto"/>
      </w:pPr>
      <w:r>
        <w:rPr>
          <w:rFonts w:ascii="Times New Roman"/>
          <w:b w:val="false"/>
          <w:i w:val="false"/>
          <w:color w:val="000000"/>
          <w:sz w:val="24"/>
          <w:lang w:val="pl-PL"/>
        </w:rPr>
        <w:t>b)</w:t>
      </w:r>
      <w:r>
        <w:rPr>
          <w:rFonts w:ascii="Times New Roman"/>
          <w:b w:val="false"/>
          <w:i w:val="false"/>
          <w:color w:val="000000"/>
          <w:sz w:val="24"/>
          <w:lang w:val="pl-PL"/>
        </w:rPr>
        <w:t xml:space="preserve"> osiągnął roczny obrót netto ze sprzedaży towarów, wyrobów i usług oraz z operacji finansowych nieprzekraczający równowartości w złotych 50 milionów euro, lub sumy aktywów jego bilansu sporządzonego na koniec jednego z tych lat nie przekroczyły równowartości w złotych 43 milionów euro</w:t>
      </w:r>
    </w:p>
    <w:p>
      <w:pPr>
        <w:spacing w:before="25" w:after="0"/>
        <w:ind w:left="373"/>
        <w:jc w:val="left"/>
        <w:textAlignment w:val="auto"/>
      </w:pPr>
      <w:r>
        <w:rPr>
          <w:rFonts w:ascii="Times New Roman"/>
          <w:b w:val="false"/>
          <w:i w:val="false"/>
          <w:color w:val="000000"/>
          <w:sz w:val="24"/>
          <w:lang w:val="pl-PL"/>
        </w:rPr>
        <w:t>- i który nie jest mikroprzedsiębiorcą ani małym przedsiębiorcą;</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organ - właściwy w sprawach podejmowania, wykonywania lub zakończenia działalności gospodarczej organ administracji publicznej, inny organ władzy publicznej, z wyłączeniem sądów, a także organ samorządu zawodowego.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Wyrażone w euro wielkości, o których mowa w </w:t>
      </w:r>
      <w:r>
        <w:rPr>
          <w:rFonts w:ascii="Times New Roman"/>
          <w:b w:val="false"/>
          <w:i w:val="false"/>
          <w:color w:val="1b1b1b"/>
          <w:sz w:val="24"/>
          <w:lang w:val="pl-PL"/>
        </w:rPr>
        <w:t>ust. 1 pkt 1-3</w:t>
      </w:r>
      <w:r>
        <w:rPr>
          <w:rFonts w:ascii="Times New Roman"/>
          <w:b w:val="false"/>
          <w:i w:val="false"/>
          <w:color w:val="000000"/>
          <w:sz w:val="24"/>
          <w:lang w:val="pl-PL"/>
        </w:rPr>
        <w:t>, przelicza się na złote według średniego kursu ogłaszanego przez Narodowy Bank Polski w ostatnim dniu roku obrotowego wybranego do określenia statusu przedsiębiorcy.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Średnioroczne zatrudnienie, o którym mowa w </w:t>
      </w:r>
      <w:r>
        <w:rPr>
          <w:rFonts w:ascii="Times New Roman"/>
          <w:b w:val="false"/>
          <w:i w:val="false"/>
          <w:color w:val="1b1b1b"/>
          <w:sz w:val="24"/>
          <w:lang w:val="pl-PL"/>
        </w:rPr>
        <w:t>ust. 1 pkt 1-3</w:t>
      </w:r>
      <w:r>
        <w:rPr>
          <w:rFonts w:ascii="Times New Roman"/>
          <w:b w:val="false"/>
          <w:i w:val="false"/>
          <w:color w:val="000000"/>
          <w:sz w:val="24"/>
          <w:lang w:val="pl-PL"/>
        </w:rPr>
        <w:t>, określa się w przeliczeniu na pełne etaty, nie uwzględniając pracowników przebywających na urlopach macierzyńskich, urlopach na warunkach urlopu macierzyńskiego, uzupełniających urlopach macierzyńskich, urlopach ojcowskich, urlopach rodzicielskich, urlopach opiekuńczych i urlopach wychowawczych, a także zatrudnionych w celu przygotowania zawodowego.</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 przypadku gdy przedsiębiorca wykonuje działalność gospodarczą krócej niż rok, jego przewidywany obrót netto ze sprzedaży towarów, wyrobów i usług oraz z operacji finansowych, a także średnioroczne zatrudnienie, o których mowa w </w:t>
      </w:r>
      <w:r>
        <w:rPr>
          <w:rFonts w:ascii="Times New Roman"/>
          <w:b w:val="false"/>
          <w:i w:val="false"/>
          <w:color w:val="1b1b1b"/>
          <w:sz w:val="24"/>
          <w:lang w:val="pl-PL"/>
        </w:rPr>
        <w:t>ust. 1 pkt 1-3</w:t>
      </w:r>
      <w:r>
        <w:rPr>
          <w:rFonts w:ascii="Times New Roman"/>
          <w:b w:val="false"/>
          <w:i w:val="false"/>
          <w:color w:val="000000"/>
          <w:sz w:val="24"/>
          <w:lang w:val="pl-PL"/>
        </w:rPr>
        <w:t>, określa się na podstawie danych za ostatni okres udokumentowany przez przedsiębiorcę.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w:t>
      </w:r>
      <w:r>
        <w:rPr>
          <w:rFonts w:ascii="Times New Roman"/>
          <w:b/>
          <w:i w:val="false"/>
          <w:color w:val="000000"/>
          <w:sz w:val="24"/>
          <w:lang w:val="pl-PL"/>
        </w:rPr>
        <w:t xml:space="preserve"> [Zasada "co nie jest prawem zabronione, jest dozwolone"]</w:t>
      </w:r>
    </w:p>
    <w:p>
      <w:pPr>
        <w:spacing w:after="0"/>
        <w:ind w:left="0"/>
        <w:jc w:val="left"/>
        <w:textAlignment w:val="auto"/>
      </w:pPr>
      <w:r>
        <w:rPr>
          <w:rFonts w:ascii="Times New Roman"/>
          <w:b w:val="false"/>
          <w:i w:val="false"/>
          <w:color w:val="000000"/>
          <w:sz w:val="24"/>
          <w:lang w:val="pl-PL"/>
        </w:rPr>
        <w:t> Przedsiębiorca może podejmować wszelkie działania, z wyjątkiem tych, których zakazują przepisy prawa. Przedsiębiorca może być obowiązany do określonego zachowania tylko na podstawie przepisów prawa.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w:t>
      </w:r>
      <w:r>
        <w:rPr>
          <w:rFonts w:ascii="Times New Roman"/>
          <w:b/>
          <w:i w:val="false"/>
          <w:color w:val="000000"/>
          <w:sz w:val="24"/>
          <w:lang w:val="pl-PL"/>
        </w:rPr>
        <w:t xml:space="preserve"> [Podstawowe zasady wykonywania działalności gospodarczej]</w:t>
      </w:r>
    </w:p>
    <w:p>
      <w:pPr>
        <w:spacing w:after="0"/>
        <w:ind w:left="0"/>
        <w:jc w:val="left"/>
        <w:textAlignment w:val="auto"/>
      </w:pPr>
      <w:r>
        <w:rPr>
          <w:rFonts w:ascii="Times New Roman"/>
          <w:b w:val="false"/>
          <w:i w:val="false"/>
          <w:color w:val="000000"/>
          <w:sz w:val="24"/>
          <w:lang w:val="pl-PL"/>
        </w:rPr>
        <w:t> Przedsiębiorca wykonuje działalność gospodarczą zgodnie z zasadami uczciwej konkurencji, poszanowania dobrych obyczajów oraz słusznych interesów innych przedsiębiorców i konsumentów, a także poszanowania oraz ochrony praw i wolności człowieka.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w:t>
      </w:r>
      <w:r>
        <w:rPr>
          <w:rFonts w:ascii="Times New Roman"/>
          <w:b/>
          <w:i w:val="false"/>
          <w:color w:val="000000"/>
          <w:sz w:val="24"/>
          <w:lang w:val="pl-PL"/>
        </w:rPr>
        <w:t xml:space="preserve"> [Domniemanie uczciwości przedsiębiorcy; rozstrzyganie wątpliwości faktycznych na korzyść przedsiębiorcy]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Organ kieruje się w swoich działaniach zasadą zaufania do przedsiębiorcy, zakładając, że działa on zgodnie z prawem, uczciwie oraz z poszanowaniem dobrych obyczajów.</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Jeżeli przedmiotem postępowania przed organem jest nałożenie na przedsiębiorcę obowiązku bądź ograniczenie lub odebranie uprawnienia, a w tym zakresie pozostają niedające się usunąć wątpliwości co do stanu faktycznego, organ rozstrzyga je na korzyść przedsiębiorcy.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Przepisu </w:t>
      </w:r>
      <w:r>
        <w:rPr>
          <w:rFonts w:ascii="Times New Roman"/>
          <w:b w:val="false"/>
          <w:i w:val="false"/>
          <w:color w:val="1b1b1b"/>
          <w:sz w:val="24"/>
          <w:lang w:val="pl-PL"/>
        </w:rPr>
        <w:t>ust. 2</w:t>
      </w:r>
      <w:r>
        <w:rPr>
          <w:rFonts w:ascii="Times New Roman"/>
          <w:b w:val="false"/>
          <w:i w:val="false"/>
          <w:color w:val="000000"/>
          <w:sz w:val="24"/>
          <w:lang w:val="pl-PL"/>
        </w:rPr>
        <w:t xml:space="preserve"> nie stosuje się, jeżeli: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 postępowaniu uczestniczą podmioty o spornych interesach lub wynik postępowania ma bezpośredni wpływ na interesy osób trzecich;</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odrębne przepisy wymagają od przedsiębiorcy wykazania określonych faktów;</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wymaga tego ważny interes publiczny, w tym istotne interesy państwa, a w szczególności jego bezpieczeństwa, obronności lub porządku publicznego.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w:t>
      </w:r>
      <w:r>
        <w:rPr>
          <w:rFonts w:ascii="Times New Roman"/>
          <w:b/>
          <w:i w:val="false"/>
          <w:color w:val="000000"/>
          <w:sz w:val="24"/>
          <w:lang w:val="pl-PL"/>
        </w:rPr>
        <w:t xml:space="preserve"> [Zasada przyjaznej interpretacji przepisów]</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Jeżeli przedmiotem postępowania przed organem jest nałożenie na przedsiębiorcę obowiązku bądź ograniczenie lub odebranie uprawnienia, a w sprawie pozostają wątpliwości co do treści normy prawnej, wątpliwości te są rozstrzygane na korzyść przedsiębiorcy, chyba że sprzeciwiają się temu sporne interesy stron albo interesy osób trzecich, na które wynik postępowania ma bezpośredni wpływ.</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Przepisu </w:t>
      </w:r>
      <w:r>
        <w:rPr>
          <w:rFonts w:ascii="Times New Roman"/>
          <w:b w:val="false"/>
          <w:i w:val="false"/>
          <w:color w:val="1b1b1b"/>
          <w:sz w:val="24"/>
          <w:lang w:val="pl-PL"/>
        </w:rPr>
        <w:t>ust. 1</w:t>
      </w:r>
      <w:r>
        <w:rPr>
          <w:rFonts w:ascii="Times New Roman"/>
          <w:b w:val="false"/>
          <w:i w:val="false"/>
          <w:color w:val="000000"/>
          <w:sz w:val="24"/>
          <w:lang w:val="pl-PL"/>
        </w:rPr>
        <w:t xml:space="preserve"> nie stosuje się, jeśli wymaga tego ważny interes publiczny, w tym istotne interesy państwa, a w szczególności jego bezpieczeństwa, obronności lub porządku publicznego.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w:t>
      </w:r>
      <w:r>
        <w:rPr>
          <w:rFonts w:ascii="Times New Roman"/>
          <w:b/>
          <w:i w:val="false"/>
          <w:color w:val="000000"/>
          <w:sz w:val="24"/>
          <w:lang w:val="pl-PL"/>
        </w:rPr>
        <w:t xml:space="preserve"> [Zasady pogłębiania zaufania, proporcjonalności, bezstronności i równego traktowania]</w:t>
      </w:r>
    </w:p>
    <w:p>
      <w:pPr>
        <w:spacing w:after="0"/>
        <w:ind w:left="0"/>
        <w:jc w:val="left"/>
        <w:textAlignment w:val="auto"/>
      </w:pPr>
      <w:r>
        <w:rPr>
          <w:rFonts w:ascii="Times New Roman"/>
          <w:b w:val="false"/>
          <w:i w:val="false"/>
          <w:color w:val="000000"/>
          <w:sz w:val="24"/>
          <w:lang w:val="pl-PL"/>
        </w:rPr>
        <w:t> Organ prowadzi postępowanie w sposób budzący zaufanie przedsiębiorców do władzy publicznej, kierując się zasadami proporcjonalności, bezstronności i równego traktowania.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w:t>
      </w:r>
      <w:r>
        <w:rPr>
          <w:rFonts w:ascii="Times New Roman"/>
          <w:b/>
          <w:i w:val="false"/>
          <w:color w:val="000000"/>
          <w:sz w:val="24"/>
          <w:lang w:val="pl-PL"/>
        </w:rPr>
        <w:t xml:space="preserve"> [Odpowiedzialność funkcjonariuszy publicznych za naruszenie prawa]</w:t>
      </w:r>
    </w:p>
    <w:p>
      <w:pPr>
        <w:spacing w:after="0"/>
        <w:ind w:left="0"/>
        <w:jc w:val="left"/>
        <w:textAlignment w:val="auto"/>
      </w:pPr>
      <w:r>
        <w:rPr>
          <w:rFonts w:ascii="Times New Roman"/>
          <w:b w:val="false"/>
          <w:i w:val="false"/>
          <w:color w:val="000000"/>
          <w:sz w:val="24"/>
          <w:lang w:val="pl-PL"/>
        </w:rPr>
        <w:t xml:space="preserve"> Funkcjonariusze publiczni ponoszą odpowiedzialność za naruszenie prawa spowodowane ich działaniem lub zaniechaniem na zasadach określonych w odrębnych </w:t>
      </w:r>
      <w:r>
        <w:rPr>
          <w:rFonts w:ascii="Times New Roman"/>
          <w:b w:val="false"/>
          <w:i w:val="false"/>
          <w:color w:val="1b1b1b"/>
          <w:sz w:val="24"/>
          <w:lang w:val="pl-PL"/>
        </w:rPr>
        <w:t>przepisach</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w:t>
      </w:r>
      <w:r>
        <w:rPr>
          <w:rFonts w:ascii="Times New Roman"/>
          <w:b/>
          <w:i w:val="false"/>
          <w:color w:val="000000"/>
          <w:sz w:val="24"/>
          <w:lang w:val="pl-PL"/>
        </w:rPr>
        <w:t xml:space="preserve"> [Zasada pewności prawa]</w:t>
      </w:r>
    </w:p>
    <w:p>
      <w:pPr>
        <w:spacing w:after="0"/>
        <w:ind w:left="0"/>
        <w:jc w:val="left"/>
        <w:textAlignment w:val="auto"/>
      </w:pPr>
      <w:r>
        <w:rPr>
          <w:rFonts w:ascii="Times New Roman"/>
          <w:b w:val="false"/>
          <w:i w:val="false"/>
          <w:color w:val="000000"/>
          <w:sz w:val="24"/>
          <w:lang w:val="pl-PL"/>
        </w:rPr>
        <w:t> Organ bez uzasadnionej przyczyny nie odstępuje od utrwalonej praktyki rozstrzygania spraw w takim samym stanie faktycznym i prawnym.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w:t>
      </w:r>
      <w:r>
        <w:rPr>
          <w:rFonts w:ascii="Times New Roman"/>
          <w:b/>
          <w:i w:val="false"/>
          <w:color w:val="000000"/>
          <w:sz w:val="24"/>
          <w:lang w:val="pl-PL"/>
        </w:rPr>
        <w:t xml:space="preserve"> [Zasada udzielania informacji]</w:t>
      </w:r>
    </w:p>
    <w:p>
      <w:pPr>
        <w:spacing w:after="0"/>
        <w:ind w:left="0"/>
        <w:jc w:val="left"/>
        <w:textAlignment w:val="auto"/>
      </w:pPr>
      <w:r>
        <w:rPr>
          <w:rFonts w:ascii="Times New Roman"/>
          <w:b w:val="false"/>
          <w:i w:val="false"/>
          <w:color w:val="000000"/>
          <w:sz w:val="24"/>
          <w:lang w:val="pl-PL"/>
        </w:rPr>
        <w:t> Organ, w zakresie swojej właściwości, udziela przedsiębiorcy informacji o warunkach podejmowania, wykonywania i zakończenia działalności gospodarczej.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w:t>
      </w:r>
      <w:r>
        <w:rPr>
          <w:rFonts w:ascii="Times New Roman"/>
          <w:b/>
          <w:i w:val="false"/>
          <w:color w:val="000000"/>
          <w:sz w:val="24"/>
          <w:lang w:val="pl-PL"/>
        </w:rPr>
        <w:t xml:space="preserve"> [Rzecznik Małych i Średnich Przedsiębiorców]</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Na straży praw mikroprzedsiębiorców oraz małych i średnich przedsiębiorców stoi Rzecznik Małych i Średnich Przedsiębiorców.</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Zakres i sposób działania Rzecznika Małych i Średnich Przedsiębiorców określają odrębne przepisy.</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2</w:t>
      </w:r>
    </w:p>
    <w:p>
      <w:pPr>
        <w:spacing w:before="25" w:after="0"/>
        <w:ind w:left="0"/>
        <w:jc w:val="center"/>
        <w:textAlignment w:val="auto"/>
      </w:pPr>
      <w:r>
        <w:rPr>
          <w:rFonts w:ascii="Times New Roman"/>
          <w:b/>
          <w:i w:val="false"/>
          <w:color w:val="000000"/>
          <w:sz w:val="24"/>
          <w:lang w:val="pl-PL"/>
        </w:rPr>
        <w:t>Podejmowanie, wykonywanie i zakończenie działalności gospodarczej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w:t>
      </w:r>
      <w:r>
        <w:rPr>
          <w:rFonts w:ascii="Times New Roman"/>
          <w:b/>
          <w:i w:val="false"/>
          <w:color w:val="000000"/>
          <w:sz w:val="24"/>
          <w:lang w:val="pl-PL"/>
        </w:rPr>
        <w:t xml:space="preserve"> [Wpis do rejestru przedsiębiorców lub do CEIDG]</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Działalność gospodarczą można podjąć w dniu złożenia wniosku o wpis do Centralnej Ewidencji i Informacji o Działalności Gospodarczej albo po dokonaniu wpisu do rejestru przedsiębiorców Krajowego Rejestru Sądowego, chyba że </w:t>
      </w:r>
      <w:r>
        <w:rPr>
          <w:rFonts w:ascii="Times New Roman"/>
          <w:b w:val="false"/>
          <w:i w:val="false"/>
          <w:color w:val="1b1b1b"/>
          <w:sz w:val="24"/>
          <w:lang w:val="pl-PL"/>
        </w:rPr>
        <w:t>przepisy</w:t>
      </w:r>
      <w:r>
        <w:rPr>
          <w:rFonts w:ascii="Times New Roman"/>
          <w:b w:val="false"/>
          <w:i w:val="false"/>
          <w:color w:val="000000"/>
          <w:sz w:val="24"/>
          <w:lang w:val="pl-PL"/>
        </w:rPr>
        <w:t xml:space="preserve"> szczególne stanowią inaczej.</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Zasady wpisu do Centralnej Ewidencji i Informacji o Działalności Gospodarczej oraz rejestru przedsiębiorców Krajowego Rejestru Sądowego określają odrębne </w:t>
      </w:r>
      <w:r>
        <w:rPr>
          <w:rFonts w:ascii="Times New Roman"/>
          <w:b w:val="false"/>
          <w:i w:val="false"/>
          <w:color w:val="1b1b1b"/>
          <w:sz w:val="24"/>
          <w:lang w:val="pl-PL"/>
        </w:rPr>
        <w:t>przepisy</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Spółka kapitałowa w organizacji może podjąć działalność gospodarczą przed wpisem do rejestru przedsiębiorców.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w:t>
      </w:r>
      <w:r>
        <w:rPr>
          <w:rFonts w:ascii="Times New Roman"/>
          <w:b/>
          <w:i w:val="false"/>
          <w:color w:val="000000"/>
          <w:sz w:val="24"/>
          <w:lang w:val="pl-PL"/>
        </w:rPr>
        <w:t xml:space="preserve"> [Ulga na start]</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Przedsiębiorca będący osobą fizyczną, który podejmuje działalność gospodarczą po raz pierwszy albo podejmuje ją ponownie po upływie co najmniej 60 miesięcy od dnia jej ostatniego zawieszenia lub zakończenia i nie wykonuje jej na rzecz byłego pracodawcy, na rzecz którego przed dniem rozpoczęcia działalności gospodarczej w bieżącym lub w poprzednim roku kalendarzowym wykonywał w ramach stosunku pracy lub spółdzielczego stosunku pracy czynności wchodzące w zakres wykonywanej działalności gospodarczej, nie podlega obowiązkowym ubezpieczeniom społecznym przez okres 6 miesięcy od dnia podjęcia działalności gospodarczej.</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Przedsiębiorca może zrezygnować z uprawnienia, o którym mowa w </w:t>
      </w:r>
      <w:r>
        <w:rPr>
          <w:rFonts w:ascii="Times New Roman"/>
          <w:b w:val="false"/>
          <w:i w:val="false"/>
          <w:color w:val="1b1b1b"/>
          <w:sz w:val="24"/>
          <w:lang w:val="pl-PL"/>
        </w:rPr>
        <w:t>ust. 1</w:t>
      </w:r>
      <w:r>
        <w:rPr>
          <w:rFonts w:ascii="Times New Roman"/>
          <w:b w:val="false"/>
          <w:i w:val="false"/>
          <w:color w:val="000000"/>
          <w:sz w:val="24"/>
          <w:lang w:val="pl-PL"/>
        </w:rPr>
        <w:t>, przez dokonanie zgłoszenia do ubezpieczeń społecznych.</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Przepisu </w:t>
      </w:r>
      <w:r>
        <w:rPr>
          <w:rFonts w:ascii="Times New Roman"/>
          <w:b w:val="false"/>
          <w:i w:val="false"/>
          <w:color w:val="1b1b1b"/>
          <w:sz w:val="24"/>
          <w:lang w:val="pl-PL"/>
        </w:rPr>
        <w:t>ust. 1</w:t>
      </w:r>
      <w:r>
        <w:rPr>
          <w:rFonts w:ascii="Times New Roman"/>
          <w:b w:val="false"/>
          <w:i w:val="false"/>
          <w:color w:val="000000"/>
          <w:sz w:val="24"/>
          <w:lang w:val="pl-PL"/>
        </w:rPr>
        <w:t xml:space="preserve"> nie stosuje się do przedsiębiorców spełniających warunki określone w </w:t>
      </w:r>
      <w:r>
        <w:rPr>
          <w:rFonts w:ascii="Times New Roman"/>
          <w:b w:val="false"/>
          <w:i w:val="false"/>
          <w:color w:val="1b1b1b"/>
          <w:sz w:val="24"/>
          <w:lang w:val="pl-PL"/>
        </w:rPr>
        <w:t>art. 5a</w:t>
      </w:r>
      <w:r>
        <w:rPr>
          <w:rFonts w:ascii="Times New Roman"/>
          <w:b w:val="false"/>
          <w:i w:val="false"/>
          <w:color w:val="000000"/>
          <w:sz w:val="24"/>
          <w:lang w:val="pl-PL"/>
        </w:rPr>
        <w:t xml:space="preserve"> ustawy z dnia 20 grudnia 1990 r. o ubezpieczeniu społecznym rolników (Dz. U. z 2025 r. poz. 197, 620, 621 i 1160).</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w:t>
      </w:r>
      <w:r>
        <w:rPr>
          <w:rFonts w:ascii="Times New Roman"/>
          <w:b/>
          <w:i w:val="false"/>
          <w:color w:val="000000"/>
          <w:sz w:val="24"/>
          <w:lang w:val="pl-PL"/>
        </w:rPr>
        <w:t xml:space="preserve"> [Obowiązek rozliczeń za pośrednictwem rachunku płatniczego]</w:t>
      </w:r>
    </w:p>
    <w:p>
      <w:pPr>
        <w:spacing w:after="0"/>
        <w:ind w:left="0"/>
        <w:jc w:val="left"/>
        <w:textAlignment w:val="auto"/>
      </w:pPr>
      <w:r>
        <w:rPr>
          <w:rFonts w:ascii="Times New Roman"/>
          <w:b w:val="false"/>
          <w:i w:val="false"/>
          <w:color w:val="000000"/>
          <w:sz w:val="24"/>
          <w:lang w:val="pl-PL"/>
        </w:rPr>
        <w:t> Dokonywanie lub przyjmowanie płatności związanych z wykonywaną działalnością gospodarczą następuje za pośrednictwem rachunku płatniczego przedsiębiorcy, w każdym przypadku gdy:</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stroną transakcji, z której wynika płatność, jest inny przedsiębiorca oraz</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jednorazowa wartość transakcji, bez względu na liczbę wynikających z niej płatności, przekracza 15 000 zł lub równowartość tej kwoty, przy czym transakcje w walutach obcych przelicza się na złote według średniego kursu walut obcych ogłaszanego przez Narodowy Bank Polski z ostatniego dnia roboczego poprzedzającego dzień dokonania transakcji.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19a.</w:t>
      </w:r>
      <w:r>
        <w:rPr>
          <w:rFonts w:ascii="Times New Roman"/>
          <w:b/>
          <w:i w:val="false"/>
          <w:color w:val="000000"/>
          <w:sz w:val="24"/>
          <w:lang w:val="pl-PL"/>
        </w:rPr>
        <w:t xml:space="preserve"> [Obowiązek umożliwienia dokonania płatności w formie bezgotówkowej]</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Przedsiębiorca zapewnia możliwość dokonywania zapłaty w każdym miejscu, w którym działalność gospodarcza jest faktycznie wykonywana, w szczególności w lokalu, poza lokalem przedsiębiorstwa lub w pojeździe wykorzystywanym do świadczenia usług transportu pasażerskiego, przy użyciu instrumentu płatniczego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19 sierpnia 2011 r. o usługach płatniczych (Dz. U. z 2025 r. poz. 611 i 1069).</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Przepisu </w:t>
      </w:r>
      <w:r>
        <w:rPr>
          <w:rFonts w:ascii="Times New Roman"/>
          <w:b w:val="false"/>
          <w:i w:val="false"/>
          <w:color w:val="1b1b1b"/>
          <w:sz w:val="24"/>
          <w:lang w:val="pl-PL"/>
        </w:rPr>
        <w:t>ust. 1</w:t>
      </w:r>
      <w:r>
        <w:rPr>
          <w:rFonts w:ascii="Times New Roman"/>
          <w:b w:val="false"/>
          <w:i w:val="false"/>
          <w:color w:val="000000"/>
          <w:sz w:val="24"/>
          <w:lang w:val="pl-PL"/>
        </w:rPr>
        <w:t xml:space="preserve"> nie stosuje się do przedsiębiorcy, który nie ma obowiązku prowadzenia ewidencji sprzedaży przy zastosowaniu kas rejestrujących,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11 marca 2004 r. o podatku od towarów i usług (Dz. U. z 2025 r. poz. 775, 894, 896 i 1203).</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Minister właściwy do spraw gospodarki, w porozumieniu z ministrem właściwym do spraw finansów publicznych, może zwolnić, w drodze rozporządzenia, na czas określony, niektórych przedsiębiorców z obowiązku, o którym mowa w </w:t>
      </w:r>
      <w:r>
        <w:rPr>
          <w:rFonts w:ascii="Times New Roman"/>
          <w:b w:val="false"/>
          <w:i w:val="false"/>
          <w:color w:val="1b1b1b"/>
          <w:sz w:val="24"/>
          <w:lang w:val="pl-PL"/>
        </w:rPr>
        <w:t>ust. 1</w:t>
      </w:r>
      <w:r>
        <w:rPr>
          <w:rFonts w:ascii="Times New Roman"/>
          <w:b w:val="false"/>
          <w:i w:val="false"/>
          <w:color w:val="000000"/>
          <w:sz w:val="24"/>
          <w:lang w:val="pl-PL"/>
        </w:rPr>
        <w:t>, mając na uwadze możliwości techniczno-organizacyjne zapewnienia konsumentowi prawa do zapłaty przy użyciu instrumentu płatniczego.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w:t>
      </w:r>
      <w:r>
        <w:rPr>
          <w:rFonts w:ascii="Times New Roman"/>
          <w:b/>
          <w:i w:val="false"/>
          <w:color w:val="000000"/>
          <w:sz w:val="24"/>
          <w:lang w:val="pl-PL"/>
        </w:rPr>
        <w:t xml:space="preserve"> [Numer identyfikacji podatkowej NIP]</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Identyfikacja przedsiębiorcy w urzędowych rejestrach następuje na podstawie numeru identyfikacji podatkowej (NIP).</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Przedsiębiorca umieszcza w oświadczeniach skierowanych w zakresie wykonywanej działalności gospodarczej do oznaczonych osób i organów numer identyfikacji podatkowej (NIP) oraz posługuje się tym numerem w obrocie prawnym i gospodarczym.</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Przedsiębiorca oferujący towary lub usługi w sprzedaży bezpośredniej lub sprzedaży na odległość za pośrednictwem środków masowego przekazu, sieci teleinformatycznych lub druków bezadresowych umieszcza w ofercie co najmniej swoją firmę, numer identyfikacji podatkowej (NIP) oraz siedzibę albo adres.</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Przy załatwianiu spraw organ może żądać od przedsiębiorcy, dla celów identyfikacji, podania wyłącznie firmy przedsiębiorcy oraz numeru identyfikacji podatkowej (NIP).</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Przepisy ust. 1-4 nie naruszają przepisów odrębnych.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w:t>
      </w:r>
      <w:r>
        <w:rPr>
          <w:rFonts w:ascii="Times New Roman"/>
          <w:b/>
          <w:i w:val="false"/>
          <w:color w:val="000000"/>
          <w:sz w:val="24"/>
          <w:lang w:val="pl-PL"/>
        </w:rPr>
        <w:t xml:space="preserve"> [Odpowiednie oznaczenie towarów wprowadzanych do obrotu na terytorium RP]</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Przedsiębiorca wprowadzający towar do obrotu na terytorium Rzeczypospolitej Polskiej zamieszcza na tym towarze, jego opakowaniu, etykiecie lub w instrukcji lub do dostarczenia w inny, zwyczajowo przyjęty sposób, pisemne informacje w języku polskim: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w:t>
      </w:r>
      <w:r>
        <w:rPr>
          <w:rFonts w:ascii="Times New Roman"/>
          <w:b w:val="false"/>
          <w:i w:val="false"/>
          <w:color w:val="000000"/>
          <w:sz w:val="24"/>
          <w:lang w:val="pl-PL"/>
        </w:rPr>
        <w:t xml:space="preserve"> określające firmę producenta w rozumieniu </w:t>
      </w:r>
      <w:r>
        <w:rPr>
          <w:rFonts w:ascii="Times New Roman"/>
          <w:b w:val="false"/>
          <w:i w:val="false"/>
          <w:color w:val="1b1b1b"/>
          <w:sz w:val="24"/>
          <w:lang w:val="pl-PL"/>
        </w:rPr>
        <w:t>art. 3 pkt 8</w:t>
      </w:r>
      <w:r>
        <w:rPr>
          <w:rFonts w:ascii="Times New Roman"/>
          <w:b w:val="false"/>
          <w:i w:val="false"/>
          <w:color w:val="000000"/>
          <w:sz w:val="24"/>
          <w:lang w:val="pl-PL"/>
        </w:rPr>
        <w:t xml:space="preserve"> rozporządzenia Parlamentu Europejskiego i Rady (UE) 2023/988 z dnia 10 maja 2023 r. w sprawie ogólnego bezpieczeństwa produktów, zmieniającego rozporządzenie Parlamentu Europejskiego i Rady (UE) nr 1025/2012 i dyrektywę Parlamentu Europejskiego i Rady (UE) 2020/1828 oraz uchylającego dyrektywę 2001/95/WE Parlamentu Europejskiego i Rady i dyrektywę Rady 87/357/EWG (Dz. Urz. UE L 135 z 23.05.2023, str. 1, z późn. zm.) i jego adres, a także państwo siedziby wytwórcy, jeżeli ma on siedzibę poza terytorium państw członkowskich Unii Europejskiej i państw członkowskich Europejskiego Stowarzyszenia Wolnego Handlu (EFTA) - stron umowy o Europejskim Obszarze Gospodarczym;</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umożliwiające identyfikację towaru, chyba że przeznaczenie towaru jest oczywiste.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Przepisu </w:t>
      </w:r>
      <w:r>
        <w:rPr>
          <w:rFonts w:ascii="Times New Roman"/>
          <w:b w:val="false"/>
          <w:i w:val="false"/>
          <w:color w:val="1b1b1b"/>
          <w:sz w:val="24"/>
          <w:lang w:val="pl-PL"/>
        </w:rPr>
        <w:t>ust. 1</w:t>
      </w:r>
      <w:r>
        <w:rPr>
          <w:rFonts w:ascii="Times New Roman"/>
          <w:b w:val="false"/>
          <w:i w:val="false"/>
          <w:color w:val="000000"/>
          <w:sz w:val="24"/>
          <w:lang w:val="pl-PL"/>
        </w:rPr>
        <w:t xml:space="preserve"> nie stosuje się do towarów, co do których odrębne </w:t>
      </w:r>
      <w:r>
        <w:rPr>
          <w:rFonts w:ascii="Times New Roman"/>
          <w:b w:val="false"/>
          <w:i w:val="false"/>
          <w:color w:val="1b1b1b"/>
          <w:sz w:val="24"/>
          <w:lang w:val="pl-PL"/>
        </w:rPr>
        <w:t>przepisy</w:t>
      </w:r>
      <w:r>
        <w:rPr>
          <w:rFonts w:ascii="Times New Roman"/>
          <w:b w:val="false"/>
          <w:i w:val="false"/>
          <w:color w:val="000000"/>
          <w:sz w:val="24"/>
          <w:lang w:val="pl-PL"/>
        </w:rPr>
        <w:t xml:space="preserve"> szczegółowo regulują obowiązki przedsiębiorców w zakresie ich oznakowania.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21a.</w:t>
      </w:r>
      <w:r>
        <w:rPr>
          <w:rFonts w:ascii="Times New Roman"/>
          <w:b/>
          <w:i w:val="false"/>
          <w:color w:val="000000"/>
          <w:sz w:val="24"/>
          <w:lang w:val="pl-PL"/>
        </w:rPr>
        <w:t xml:space="preserve"> [Wezwanie przedsiębiorcy do usunięcia stwierdzonych naruszeń prawa przed nałożeniem na niego grzywny lub administracyjnej kary pieniężnej]</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Jeżeli przedsiębiorca wpisany do Centralnej Ewidencji i Informacji o Działalności Gospodarczej narusza przepisy prawa związane z wykonywaną działalnością gospodarczą w okresie 12 miesięcy od dnia podjęcia działalności gospodarczej po raz pierwszy albo ponownie po upływie co najmniej 36 miesięcy od dnia jej ostatniego zawieszenia lub zakończenia, a właściwy organ wszczyna w związku z tym naruszeniem postępowanie: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mandatowe albo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sprawie nakładania lub wymierzania administracyjnej kary pieniężnej</w:t>
      </w:r>
    </w:p>
    <w:p>
      <w:pPr>
        <w:spacing w:before="25" w:after="0"/>
        <w:ind w:left="0"/>
        <w:jc w:val="left"/>
        <w:textAlignment w:val="auto"/>
      </w:pPr>
      <w:r>
        <w:rPr>
          <w:rFonts w:ascii="Times New Roman"/>
          <w:b w:val="false"/>
          <w:i w:val="false"/>
          <w:color w:val="000000"/>
          <w:sz w:val="24"/>
          <w:lang w:val="pl-PL"/>
        </w:rPr>
        <w:t>- przed nałożeniem na przedsiębiorcę grzywny w drodze mandatu karnego albo nałożeniem na niego lub wymierzeniem mu administracyjnej kary pieniężnej organ ten wzywa, w drodze postanowienia, przedsiębiorcę do usunięcia stwierdzonych naruszeń przepisów prawa oraz skutków tych naruszeń, jeżeli skutki takie wystąpiły, w wyznaczonym przez siebie terminie.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przypadku postępowania mandatowego, o którym mowa w </w:t>
      </w:r>
      <w:r>
        <w:rPr>
          <w:rFonts w:ascii="Times New Roman"/>
          <w:b w:val="false"/>
          <w:i w:val="false"/>
          <w:color w:val="1b1b1b"/>
          <w:sz w:val="24"/>
          <w:lang w:val="pl-PL"/>
        </w:rPr>
        <w:t>ust. 1 pkt 1</w:t>
      </w:r>
      <w:r>
        <w:rPr>
          <w:rFonts w:ascii="Times New Roman"/>
          <w:b w:val="false"/>
          <w:i w:val="false"/>
          <w:color w:val="000000"/>
          <w:sz w:val="24"/>
          <w:lang w:val="pl-PL"/>
        </w:rPr>
        <w:t xml:space="preserve">, funkcjonariusz, inspektor lub przedstawiciel właściwego organu może odebrać od przedsiębiorcy pisemne oświadczenie, w którym przedsiębiorca ten zobowiązuje się do usunięcia stwierdzonych naruszeń przepisów prawa oraz skutków tych naruszeń, jeżeli skutki takie wystąpiły, w wyznaczonym przez funkcjonariusza, inspektora lub przedstawiciela terminie. W takim przypadku właściwy organ nie wzywa przedsiębiorcy do usunięcia stwierdzonych naruszeń przepisów prawa oraz skutków tych naruszeń. Jeżeli przedsiębiorca odmawia złożenia pisemnego oświadczenia, przepisu </w:t>
      </w:r>
      <w:r>
        <w:rPr>
          <w:rFonts w:ascii="Times New Roman"/>
          <w:b w:val="false"/>
          <w:i w:val="false"/>
          <w:color w:val="1b1b1b"/>
          <w:sz w:val="24"/>
          <w:lang w:val="pl-PL"/>
        </w:rPr>
        <w:t>ust. 1</w:t>
      </w:r>
      <w:r>
        <w:rPr>
          <w:rFonts w:ascii="Times New Roman"/>
          <w:b w:val="false"/>
          <w:i w:val="false"/>
          <w:color w:val="000000"/>
          <w:sz w:val="24"/>
          <w:lang w:val="pl-PL"/>
        </w:rPr>
        <w:t xml:space="preserve"> nie stosuje się.</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Jeżeli przedsiębiorca usunie stwierdzone naruszenia przepisów prawa oraz skutki tych naruszeń, jeżeli skutki takie wystąpiły, w wyznaczonym terminie, o którym mowa w </w:t>
      </w:r>
      <w:r>
        <w:rPr>
          <w:rFonts w:ascii="Times New Roman"/>
          <w:b w:val="false"/>
          <w:i w:val="false"/>
          <w:color w:val="1b1b1b"/>
          <w:sz w:val="24"/>
          <w:lang w:val="pl-PL"/>
        </w:rPr>
        <w:t>ust. 1</w:t>
      </w:r>
      <w:r>
        <w:rPr>
          <w:rFonts w:ascii="Times New Roman"/>
          <w:b w:val="false"/>
          <w:i w:val="false"/>
          <w:color w:val="000000"/>
          <w:sz w:val="24"/>
          <w:lang w:val="pl-PL"/>
        </w:rPr>
        <w:t xml:space="preserve"> lub </w:t>
      </w:r>
      <w:r>
        <w:rPr>
          <w:rFonts w:ascii="Times New Roman"/>
          <w:b w:val="false"/>
          <w:i w:val="false"/>
          <w:color w:val="1b1b1b"/>
          <w:sz w:val="24"/>
          <w:lang w:val="pl-PL"/>
        </w:rPr>
        <w:t>2</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właściwy organ, w drodze decyzji, odstępuje od nałożenia na niego lub wymierzenia mu administracyjnej kary pieniężnej i poprzestaje na pouczeniu albo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przedsiębiorca nie podlega karze za popełnione wykroczenie lub wykroczenie skarbowe, stanowiące stwierdzone naruszenie przepisów prawa.</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Przepisów </w:t>
      </w:r>
      <w:r>
        <w:rPr>
          <w:rFonts w:ascii="Times New Roman"/>
          <w:b w:val="false"/>
          <w:i w:val="false"/>
          <w:color w:val="1b1b1b"/>
          <w:sz w:val="24"/>
          <w:lang w:val="pl-PL"/>
        </w:rPr>
        <w:t>ust.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nie stosuje się, jeżeli naruszenia przepisów prawa lub ich skutki rozpoczęły się w trakcie okresu, o którym mowa w </w:t>
      </w:r>
      <w:r>
        <w:rPr>
          <w:rFonts w:ascii="Times New Roman"/>
          <w:b w:val="false"/>
          <w:i w:val="false"/>
          <w:color w:val="1b1b1b"/>
          <w:sz w:val="24"/>
          <w:lang w:val="pl-PL"/>
        </w:rPr>
        <w:t>ust. 1</w:t>
      </w:r>
      <w:r>
        <w:rPr>
          <w:rFonts w:ascii="Times New Roman"/>
          <w:b w:val="false"/>
          <w:i w:val="false"/>
          <w:color w:val="000000"/>
          <w:sz w:val="24"/>
          <w:lang w:val="pl-PL"/>
        </w:rPr>
        <w:t>, i trwają one dalej także po upływie tego okresu.</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Właściwy organ, w drodze decyzji, odstępuje od nałożenia na przedsiębiorcę lub wymierzenia mu administracyjnej kary pieniężnej i poprzestaje na pouczeniu także w przypadku, gdy przedsiębiorca ten dobrowolnie usunął naruszenia prawa oraz skutki tych naruszeń, jeżeli skutki takie wystąpiły, w okresie, o którym mowa w </w:t>
      </w:r>
      <w:r>
        <w:rPr>
          <w:rFonts w:ascii="Times New Roman"/>
          <w:b w:val="false"/>
          <w:i w:val="false"/>
          <w:color w:val="1b1b1b"/>
          <w:sz w:val="24"/>
          <w:lang w:val="pl-PL"/>
        </w:rPr>
        <w:t>ust. 1</w:t>
      </w:r>
      <w:r>
        <w:rPr>
          <w:rFonts w:ascii="Times New Roman"/>
          <w:b w:val="false"/>
          <w:i w:val="false"/>
          <w:color w:val="000000"/>
          <w:sz w:val="24"/>
          <w:lang w:val="pl-PL"/>
        </w:rPr>
        <w:t xml:space="preserve">, jeszcze przed wezwaniem tego organu, o którym mowa w </w:t>
      </w:r>
      <w:r>
        <w:rPr>
          <w:rFonts w:ascii="Times New Roman"/>
          <w:b w:val="false"/>
          <w:i w:val="false"/>
          <w:color w:val="1b1b1b"/>
          <w:sz w:val="24"/>
          <w:lang w:val="pl-PL"/>
        </w:rPr>
        <w:t>ust. 1</w:t>
      </w:r>
      <w:r>
        <w:rPr>
          <w:rFonts w:ascii="Times New Roman"/>
          <w:b w:val="false"/>
          <w:i w:val="false"/>
          <w:color w:val="000000"/>
          <w:sz w:val="24"/>
          <w:lang w:val="pl-PL"/>
        </w:rPr>
        <w:t>, oraz powiadomił organ o usunięciu naruszeń oraz skutków tych naruszeń, jeżeli skutki takie wystąpiły.</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W przypadku gdy przedsiębiorca dobrowolnie usunął naruszenia przepisów prawa, będące wykroczeniami lub wykroczeniami skarbowymi, oraz skutki tych naruszeń, jeżeli skutki takie wystąpiły, w okresie, o którym mowa w </w:t>
      </w:r>
      <w:r>
        <w:rPr>
          <w:rFonts w:ascii="Times New Roman"/>
          <w:b w:val="false"/>
          <w:i w:val="false"/>
          <w:color w:val="1b1b1b"/>
          <w:sz w:val="24"/>
          <w:lang w:val="pl-PL"/>
        </w:rPr>
        <w:t>ust. 1</w:t>
      </w:r>
      <w:r>
        <w:rPr>
          <w:rFonts w:ascii="Times New Roman"/>
          <w:b w:val="false"/>
          <w:i w:val="false"/>
          <w:color w:val="000000"/>
          <w:sz w:val="24"/>
          <w:lang w:val="pl-PL"/>
        </w:rPr>
        <w:t xml:space="preserve">, jeszcze przed wezwaniem właściwego organu, o którym mowa w </w:t>
      </w:r>
      <w:r>
        <w:rPr>
          <w:rFonts w:ascii="Times New Roman"/>
          <w:b w:val="false"/>
          <w:i w:val="false"/>
          <w:color w:val="1b1b1b"/>
          <w:sz w:val="24"/>
          <w:lang w:val="pl-PL"/>
        </w:rPr>
        <w:t>ust. 1</w:t>
      </w:r>
      <w:r>
        <w:rPr>
          <w:rFonts w:ascii="Times New Roman"/>
          <w:b w:val="false"/>
          <w:i w:val="false"/>
          <w:color w:val="000000"/>
          <w:sz w:val="24"/>
          <w:lang w:val="pl-PL"/>
        </w:rPr>
        <w:t xml:space="preserve">, lub przed złożeniem pisemnego oświadczenia, o którym mowa w </w:t>
      </w:r>
      <w:r>
        <w:rPr>
          <w:rFonts w:ascii="Times New Roman"/>
          <w:b w:val="false"/>
          <w:i w:val="false"/>
          <w:color w:val="1b1b1b"/>
          <w:sz w:val="24"/>
          <w:lang w:val="pl-PL"/>
        </w:rPr>
        <w:t>ust. 2</w:t>
      </w:r>
      <w:r>
        <w:rPr>
          <w:rFonts w:ascii="Times New Roman"/>
          <w:b w:val="false"/>
          <w:i w:val="false"/>
          <w:color w:val="000000"/>
          <w:sz w:val="24"/>
          <w:lang w:val="pl-PL"/>
        </w:rPr>
        <w:t>, oraz powiadomił właściwy organ lub funkcjonariusza, inspektora lub przedstawiciela tego organu o usunięciu naruszeń oraz skutków tych naruszeń, jeżeli skutki takie wystąpiły, organ nie nakłada na niego grzywny w drodze mandatu karnego. Jeżeli w związku z usuniętymi naruszeniami dochodzi do wszczęcia postępowania sądowego, sąd odstępuje od wymierzenia kary grzywny przedsiębiorcy, w przypadku, gdy jej wysokość nie przekraczałaby maksymalnej wysokości kary grzywny, która mogłaby zostać nałożona w postępowaniu mandatowym.</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Przepisów </w:t>
      </w:r>
      <w:r>
        <w:rPr>
          <w:rFonts w:ascii="Times New Roman"/>
          <w:b w:val="false"/>
          <w:i w:val="false"/>
          <w:color w:val="1b1b1b"/>
          <w:sz w:val="24"/>
          <w:lang w:val="pl-PL"/>
        </w:rPr>
        <w:t>ust. 1 pkt 1</w:t>
      </w:r>
      <w:r>
        <w:rPr>
          <w:rFonts w:ascii="Times New Roman"/>
          <w:b w:val="false"/>
          <w:i w:val="false"/>
          <w:color w:val="000000"/>
          <w:sz w:val="24"/>
          <w:lang w:val="pl-PL"/>
        </w:rPr>
        <w:t xml:space="preserve">, </w:t>
      </w:r>
      <w:r>
        <w:rPr>
          <w:rFonts w:ascii="Times New Roman"/>
          <w:b w:val="false"/>
          <w:i w:val="false"/>
          <w:color w:val="1b1b1b"/>
          <w:sz w:val="24"/>
          <w:lang w:val="pl-PL"/>
        </w:rPr>
        <w:t>ust. 2</w:t>
      </w:r>
      <w:r>
        <w:rPr>
          <w:rFonts w:ascii="Times New Roman"/>
          <w:b w:val="false"/>
          <w:i w:val="false"/>
          <w:color w:val="000000"/>
          <w:sz w:val="24"/>
          <w:lang w:val="pl-PL"/>
        </w:rPr>
        <w:t xml:space="preserve">, </w:t>
      </w:r>
      <w:r>
        <w:rPr>
          <w:rFonts w:ascii="Times New Roman"/>
          <w:b w:val="false"/>
          <w:i w:val="false"/>
          <w:color w:val="1b1b1b"/>
          <w:sz w:val="24"/>
          <w:lang w:val="pl-PL"/>
        </w:rPr>
        <w:t>ust. 3 pkt 2</w:t>
      </w:r>
      <w:r>
        <w:rPr>
          <w:rFonts w:ascii="Times New Roman"/>
          <w:b w:val="false"/>
          <w:i w:val="false"/>
          <w:color w:val="000000"/>
          <w:sz w:val="24"/>
          <w:lang w:val="pl-PL"/>
        </w:rPr>
        <w:t xml:space="preserve"> oraz </w:t>
      </w:r>
      <w:r>
        <w:rPr>
          <w:rFonts w:ascii="Times New Roman"/>
          <w:b w:val="false"/>
          <w:i w:val="false"/>
          <w:color w:val="1b1b1b"/>
          <w:sz w:val="24"/>
          <w:lang w:val="pl-PL"/>
        </w:rPr>
        <w:t>ust. 6</w:t>
      </w:r>
      <w:r>
        <w:rPr>
          <w:rFonts w:ascii="Times New Roman"/>
          <w:b w:val="false"/>
          <w:i w:val="false"/>
          <w:color w:val="000000"/>
          <w:sz w:val="24"/>
          <w:lang w:val="pl-PL"/>
        </w:rPr>
        <w:t xml:space="preserve"> nie stosuje się, jeżeli kara grzywny w drodze mandatu karnego nakładana jest w wyniku przeprowadzenia kontroli drogowej.</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Przepisów </w:t>
      </w:r>
      <w:r>
        <w:rPr>
          <w:rFonts w:ascii="Times New Roman"/>
          <w:b w:val="false"/>
          <w:i w:val="false"/>
          <w:color w:val="1b1b1b"/>
          <w:sz w:val="24"/>
          <w:lang w:val="pl-PL"/>
        </w:rPr>
        <w:t>ust. 1-3</w:t>
      </w:r>
      <w:r>
        <w:rPr>
          <w:rFonts w:ascii="Times New Roman"/>
          <w:b w:val="false"/>
          <w:i w:val="false"/>
          <w:color w:val="000000"/>
          <w:sz w:val="24"/>
          <w:lang w:val="pl-PL"/>
        </w:rPr>
        <w:t xml:space="preserve">, </w:t>
      </w:r>
      <w:r>
        <w:rPr>
          <w:rFonts w:ascii="Times New Roman"/>
          <w:b w:val="false"/>
          <w:i w:val="false"/>
          <w:color w:val="1b1b1b"/>
          <w:sz w:val="24"/>
          <w:lang w:val="pl-PL"/>
        </w:rPr>
        <w:t>5</w:t>
      </w:r>
      <w:r>
        <w:rPr>
          <w:rFonts w:ascii="Times New Roman"/>
          <w:b w:val="false"/>
          <w:i w:val="false"/>
          <w:color w:val="000000"/>
          <w:sz w:val="24"/>
          <w:lang w:val="pl-PL"/>
        </w:rPr>
        <w:t xml:space="preserve"> oraz </w:t>
      </w:r>
      <w:r>
        <w:rPr>
          <w:rFonts w:ascii="Times New Roman"/>
          <w:b w:val="false"/>
          <w:i w:val="false"/>
          <w:color w:val="1b1b1b"/>
          <w:sz w:val="24"/>
          <w:lang w:val="pl-PL"/>
        </w:rPr>
        <w:t>6</w:t>
      </w:r>
      <w:r>
        <w:rPr>
          <w:rFonts w:ascii="Times New Roman"/>
          <w:b w:val="false"/>
          <w:i w:val="false"/>
          <w:color w:val="000000"/>
          <w:sz w:val="24"/>
          <w:lang w:val="pl-PL"/>
        </w:rPr>
        <w:t xml:space="preserve"> nie stosuje się, jeżeli: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naruszenie dotyczy przepisów prawa, które zostały naruszone przez przedsiębiorcę w przeszłości lub</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naruszenie przepisów prawa jest rażące, lub</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nie jest możliwe usunięcie naruszeń przepisów prawa lub gdy wywołały one nieodwracalne skutki, lub</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konieczność nałożenia grzywny w drodze mandatu karnego albo nałożenia lub wymierzenia administracyjnej kary pieniężnej wynika z ratyfikowanej umowy międzynarodowej albo bezpośrednio stosowanych przepisów prawa Unii Europejskiej, lub</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naruszenie przepisów prawa polega na wykonywaniu działalności gospodarczej pomimo braku uzyskania wymaganych prawem koncesji, zezwolenia lub wpisu do rejestru działalności regulowanej lub na działaniu bez uzyskania wcześniejszej zgody, zezwolenia lub pozwolenia właściwego organu na to działanie, jeżeli przepisy przewidują obowiązek ich uzyskania, lub na działaniu niezgodnym z taką zgodą, zezwoleniem lub pozwoleniem, lub</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przepisy odrębne przewidują nałożenie grzywny w drodze mandatu karnego albo nałożenie lub wymierzenie administracyjnej kary pieniężnej za niewykonanie zaleceń pokontrolnych.</w:t>
      </w:r>
    </w:p>
    <w:p>
      <w:pPr>
        <w:spacing w:before="26" w:after="0"/>
        <w:ind w:left="0"/>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Jeżeli: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właściwy organ nakłada na przedsiębiorcę grzywnę w drodze mandatu karnego z naruszeniem przepisów ust. 1-3, ust. 6 zdanie pierwsze lub ust. 8 oraz</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przedsiębiorca odmawia przyjęcia mandatu karnego, oraz</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przedsiębiorca niezwłocznie usunie stwierdzone naruszenia przepisów prawa oraz skutki tych naruszeń, jeżeli skutki takie wystąpiły</w:t>
      </w:r>
    </w:p>
    <w:p>
      <w:pPr>
        <w:spacing w:before="25" w:after="0"/>
        <w:ind w:left="0"/>
        <w:jc w:val="left"/>
        <w:textAlignment w:val="auto"/>
      </w:pPr>
      <w:r>
        <w:rPr>
          <w:rFonts w:ascii="Times New Roman"/>
          <w:b w:val="false"/>
          <w:i w:val="false"/>
          <w:color w:val="000000"/>
          <w:sz w:val="24"/>
          <w:lang w:val="pl-PL"/>
        </w:rPr>
        <w:t>- sąd odstępuje od wymierzenia kary.</w:t>
      </w:r>
    </w:p>
    <w:p>
      <w:pPr>
        <w:spacing w:before="26" w:after="0"/>
        <w:ind w:left="0"/>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Przesłanki odstąpienia od nałożenia lub wymierzenia administracyjnej kary pieniężnej lub od wymierzenia kary grzywny wobec przedsiębiorców:</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niewpisanych do Centralnej Ewidencji i Informacji o Działalności Gospodarczej lub</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wpisanych do Centralnej Ewidencji i Informacji o Działalności Gospodarczej i naruszających przepisy prawa związane z wykonywaną działalnością gospodarczą:</w:t>
      </w:r>
    </w:p>
    <w:p>
      <w:pPr>
        <w:spacing w:after="0"/>
        <w:ind w:left="746"/>
        <w:jc w:val="left"/>
        <w:textAlignment w:val="auto"/>
      </w:pPr>
      <w:r>
        <w:rPr>
          <w:rFonts w:ascii="Times New Roman"/>
          <w:b w:val="false"/>
          <w:i w:val="false"/>
          <w:color w:val="000000"/>
          <w:sz w:val="24"/>
          <w:lang w:val="pl-PL"/>
        </w:rPr>
        <w:t>a)</w:t>
      </w:r>
      <w:r>
        <w:rPr>
          <w:rFonts w:ascii="Times New Roman"/>
          <w:b w:val="false"/>
          <w:i w:val="false"/>
          <w:color w:val="000000"/>
          <w:sz w:val="24"/>
          <w:lang w:val="pl-PL"/>
        </w:rPr>
        <w:t xml:space="preserve"> po upływie okresu, o którym mowa w </w:t>
      </w:r>
      <w:r>
        <w:rPr>
          <w:rFonts w:ascii="Times New Roman"/>
          <w:b w:val="false"/>
          <w:i w:val="false"/>
          <w:color w:val="1b1b1b"/>
          <w:sz w:val="24"/>
          <w:lang w:val="pl-PL"/>
        </w:rPr>
        <w:t>ust. 1</w:t>
      </w:r>
      <w:r>
        <w:rPr>
          <w:rFonts w:ascii="Times New Roman"/>
          <w:b w:val="false"/>
          <w:i w:val="false"/>
          <w:color w:val="000000"/>
          <w:sz w:val="24"/>
          <w:lang w:val="pl-PL"/>
        </w:rPr>
        <w:t xml:space="preserve">, chyba że przedsiębiorca usunął stwierdzone naruszenia przepisów prawa oraz skutki tych naruszeń, jeżeli skutki takie wystąpiły, zgodnie z </w:t>
      </w:r>
      <w:r>
        <w:rPr>
          <w:rFonts w:ascii="Times New Roman"/>
          <w:b w:val="false"/>
          <w:i w:val="false"/>
          <w:color w:val="1b1b1b"/>
          <w:sz w:val="24"/>
          <w:lang w:val="pl-PL"/>
        </w:rPr>
        <w:t>ust. 3</w:t>
      </w:r>
      <w:r>
        <w:rPr>
          <w:rFonts w:ascii="Times New Roman"/>
          <w:b w:val="false"/>
          <w:i w:val="false"/>
          <w:color w:val="000000"/>
          <w:sz w:val="24"/>
          <w:lang w:val="pl-PL"/>
        </w:rPr>
        <w:t>, lub</w:t>
      </w:r>
    </w:p>
    <w:p>
      <w:pPr>
        <w:spacing w:after="0"/>
        <w:ind w:left="746"/>
        <w:jc w:val="left"/>
        <w:textAlignment w:val="auto"/>
      </w:pPr>
      <w:r>
        <w:rPr>
          <w:rFonts w:ascii="Times New Roman"/>
          <w:b w:val="false"/>
          <w:i w:val="false"/>
          <w:color w:val="000000"/>
          <w:sz w:val="24"/>
          <w:lang w:val="pl-PL"/>
        </w:rPr>
        <w:t>b)</w:t>
      </w:r>
      <w:r>
        <w:rPr>
          <w:rFonts w:ascii="Times New Roman"/>
          <w:b w:val="false"/>
          <w:i w:val="false"/>
          <w:color w:val="000000"/>
          <w:sz w:val="24"/>
          <w:lang w:val="pl-PL"/>
        </w:rPr>
        <w:t xml:space="preserve"> w okresie, o którym mowa w </w:t>
      </w:r>
      <w:r>
        <w:rPr>
          <w:rFonts w:ascii="Times New Roman"/>
          <w:b w:val="false"/>
          <w:i w:val="false"/>
          <w:color w:val="1b1b1b"/>
          <w:sz w:val="24"/>
          <w:lang w:val="pl-PL"/>
        </w:rPr>
        <w:t>ust. 1</w:t>
      </w:r>
      <w:r>
        <w:rPr>
          <w:rFonts w:ascii="Times New Roman"/>
          <w:b w:val="false"/>
          <w:i w:val="false"/>
          <w:color w:val="000000"/>
          <w:sz w:val="24"/>
          <w:lang w:val="pl-PL"/>
        </w:rPr>
        <w:t xml:space="preserve">, w przypadkach, o których mowa w </w:t>
      </w:r>
      <w:r>
        <w:rPr>
          <w:rFonts w:ascii="Times New Roman"/>
          <w:b w:val="false"/>
          <w:i w:val="false"/>
          <w:color w:val="1b1b1b"/>
          <w:sz w:val="24"/>
          <w:lang w:val="pl-PL"/>
        </w:rPr>
        <w:t>ust. 4</w:t>
      </w:r>
      <w:r>
        <w:rPr>
          <w:rFonts w:ascii="Times New Roman"/>
          <w:b w:val="false"/>
          <w:i w:val="false"/>
          <w:color w:val="000000"/>
          <w:sz w:val="24"/>
          <w:lang w:val="pl-PL"/>
        </w:rPr>
        <w:t xml:space="preserve">, </w:t>
      </w:r>
      <w:r>
        <w:rPr>
          <w:rFonts w:ascii="Times New Roman"/>
          <w:b w:val="false"/>
          <w:i w:val="false"/>
          <w:color w:val="1b1b1b"/>
          <w:sz w:val="24"/>
          <w:lang w:val="pl-PL"/>
        </w:rPr>
        <w:t>7</w:t>
      </w:r>
      <w:r>
        <w:rPr>
          <w:rFonts w:ascii="Times New Roman"/>
          <w:b w:val="false"/>
          <w:i w:val="false"/>
          <w:color w:val="000000"/>
          <w:sz w:val="24"/>
          <w:lang w:val="pl-PL"/>
        </w:rPr>
        <w:t xml:space="preserve"> i </w:t>
      </w:r>
      <w:r>
        <w:rPr>
          <w:rFonts w:ascii="Times New Roman"/>
          <w:b w:val="false"/>
          <w:i w:val="false"/>
          <w:color w:val="1b1b1b"/>
          <w:sz w:val="24"/>
          <w:lang w:val="pl-PL"/>
        </w:rPr>
        <w:t>8</w:t>
      </w:r>
      <w:r>
        <w:rPr>
          <w:rFonts w:ascii="Times New Roman"/>
          <w:b w:val="false"/>
          <w:i w:val="false"/>
          <w:color w:val="000000"/>
          <w:sz w:val="24"/>
          <w:lang w:val="pl-PL"/>
        </w:rPr>
        <w:t xml:space="preserve"> </w:t>
      </w:r>
    </w:p>
    <w:p>
      <w:pPr>
        <w:spacing w:before="25" w:after="0"/>
        <w:ind w:left="373"/>
        <w:jc w:val="left"/>
        <w:textAlignment w:val="auto"/>
      </w:pPr>
      <w:r>
        <w:rPr>
          <w:rFonts w:ascii="Times New Roman"/>
          <w:b w:val="false"/>
          <w:i w:val="false"/>
          <w:color w:val="000000"/>
          <w:sz w:val="24"/>
          <w:lang w:val="pl-PL"/>
        </w:rPr>
        <w:t>- określają odrębne przepisy.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w:t>
      </w:r>
      <w:r>
        <w:rPr>
          <w:rFonts w:ascii="Times New Roman"/>
          <w:b/>
          <w:i w:val="false"/>
          <w:color w:val="000000"/>
          <w:sz w:val="24"/>
          <w:lang w:val="pl-PL"/>
        </w:rPr>
        <w:t xml:space="preserve"> [Zawieszenie wykonywania działalności gospodarczej]</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Przedsiębiorca niezatrudniający pracowników może zawiesić wykonywanie działalności gospodarczej na zasadach określonych w niniejszej ustawie, z uwzględnieniem </w:t>
      </w:r>
      <w:r>
        <w:rPr>
          <w:rFonts w:ascii="Times New Roman"/>
          <w:b w:val="false"/>
          <w:i w:val="false"/>
          <w:color w:val="1b1b1b"/>
          <w:sz w:val="24"/>
          <w:lang w:val="pl-PL"/>
        </w:rPr>
        <w:t>przepisów</w:t>
      </w:r>
      <w:r>
        <w:rPr>
          <w:rFonts w:ascii="Times New Roman"/>
          <w:b w:val="false"/>
          <w:i w:val="false"/>
          <w:color w:val="000000"/>
          <w:sz w:val="24"/>
          <w:lang w:val="pl-PL"/>
        </w:rPr>
        <w:t xml:space="preserve"> dotyczących ubezpieczeń społecznych.</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Z uprawnienia, o którym mowa w </w:t>
      </w:r>
      <w:r>
        <w:rPr>
          <w:rFonts w:ascii="Times New Roman"/>
          <w:b w:val="false"/>
          <w:i w:val="false"/>
          <w:color w:val="1b1b1b"/>
          <w:sz w:val="24"/>
          <w:lang w:val="pl-PL"/>
        </w:rPr>
        <w:t>ust. 1</w:t>
      </w:r>
      <w:r>
        <w:rPr>
          <w:rFonts w:ascii="Times New Roman"/>
          <w:b w:val="false"/>
          <w:i w:val="false"/>
          <w:color w:val="000000"/>
          <w:sz w:val="24"/>
          <w:lang w:val="pl-PL"/>
        </w:rPr>
        <w:t xml:space="preserve">, może skorzystać również przedsiębiorca zatrudniający wyłącznie pracowników przebywających na urlopie macierzyńskim, urlopie na warunkach urlopu macierzyńskiego, uzupełniającym urlopie macierzyńskim, urlopie wychowawczym, urlopie opiekuńczym lub urlopie rodzicielskim, którzy nie łączą korzystania z urlopu rodzicielskiego z wykonywaniem pracy u pracodawcy udzielającego tego urlopu. W przypadku zakończenia korzystania z urlopów lub złożenia przez pracownika wniosku dotyczącego łączenia korzystania z urlopu rodzicielskiego z wykonywaniem pracy u pracodawcy udzielającego tego urlopu, pracownik ma prawo do wynagrodzenia jak za przestój, określonego </w:t>
      </w:r>
      <w:r>
        <w:rPr>
          <w:rFonts w:ascii="Times New Roman"/>
          <w:b w:val="false"/>
          <w:i w:val="false"/>
          <w:color w:val="1b1b1b"/>
          <w:sz w:val="24"/>
          <w:lang w:val="pl-PL"/>
        </w:rPr>
        <w:t>przepisami</w:t>
      </w:r>
      <w:r>
        <w:rPr>
          <w:rFonts w:ascii="Times New Roman"/>
          <w:b w:val="false"/>
          <w:i w:val="false"/>
          <w:color w:val="000000"/>
          <w:sz w:val="24"/>
          <w:lang w:val="pl-PL"/>
        </w:rPr>
        <w:t xml:space="preserve"> prawa pracy, do zakończenia okresu zawieszenia wykonywania działalności gospodarczej.</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Przedsiębiorca wykonujący działalność gospodarczą jako wspólnik spółki cywilnej oraz poza tą spółką może zawiesić wykonywanie działalności gospodarczej w jednej z tych form. Przepisy </w:t>
      </w:r>
      <w:r>
        <w:rPr>
          <w:rFonts w:ascii="Times New Roman"/>
          <w:b w:val="false"/>
          <w:i w:val="false"/>
          <w:color w:val="1b1b1b"/>
          <w:sz w:val="24"/>
          <w:lang w:val="pl-PL"/>
        </w:rPr>
        <w:t>art. 24</w:t>
      </w:r>
      <w:r>
        <w:rPr>
          <w:rFonts w:ascii="Times New Roman"/>
          <w:b w:val="false"/>
          <w:i w:val="false"/>
          <w:color w:val="000000"/>
          <w:sz w:val="24"/>
          <w:lang w:val="pl-PL"/>
        </w:rPr>
        <w:t xml:space="preserve"> i </w:t>
      </w:r>
      <w:r>
        <w:rPr>
          <w:rFonts w:ascii="Times New Roman"/>
          <w:b w:val="false"/>
          <w:i w:val="false"/>
          <w:color w:val="1b1b1b"/>
          <w:sz w:val="24"/>
          <w:lang w:val="pl-PL"/>
        </w:rPr>
        <w:t>art. 25</w:t>
      </w:r>
      <w:r>
        <w:rPr>
          <w:rFonts w:ascii="Times New Roman"/>
          <w:b w:val="false"/>
          <w:i w:val="false"/>
          <w:color w:val="000000"/>
          <w:sz w:val="24"/>
          <w:lang w:val="pl-PL"/>
        </w:rPr>
        <w:t xml:space="preserve"> stosuje się do zawieszonej formy wykonywania działalności gospodarczej.</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Przedsiębiorca wykonujący działalność gospodarczą jako wspólnik w więcej niż jednej spółce cywilnej może zawiesić wykonywanie działalności gospodarczej w jednej lub kilku takich spółkach. Przepisy </w:t>
      </w:r>
      <w:r>
        <w:rPr>
          <w:rFonts w:ascii="Times New Roman"/>
          <w:b w:val="false"/>
          <w:i w:val="false"/>
          <w:color w:val="1b1b1b"/>
          <w:sz w:val="24"/>
          <w:lang w:val="pl-PL"/>
        </w:rPr>
        <w:t>ust. 5</w:t>
      </w:r>
      <w:r>
        <w:rPr>
          <w:rFonts w:ascii="Times New Roman"/>
          <w:b w:val="false"/>
          <w:i w:val="false"/>
          <w:color w:val="000000"/>
          <w:sz w:val="24"/>
          <w:lang w:val="pl-PL"/>
        </w:rPr>
        <w:t xml:space="preserve"> oraz </w:t>
      </w:r>
      <w:r>
        <w:rPr>
          <w:rFonts w:ascii="Times New Roman"/>
          <w:b w:val="false"/>
          <w:i w:val="false"/>
          <w:color w:val="1b1b1b"/>
          <w:sz w:val="24"/>
          <w:lang w:val="pl-PL"/>
        </w:rPr>
        <w:t>art. 24</w:t>
      </w:r>
      <w:r>
        <w:rPr>
          <w:rFonts w:ascii="Times New Roman"/>
          <w:b w:val="false"/>
          <w:i w:val="false"/>
          <w:color w:val="000000"/>
          <w:sz w:val="24"/>
          <w:lang w:val="pl-PL"/>
        </w:rPr>
        <w:t xml:space="preserve"> i </w:t>
      </w:r>
      <w:r>
        <w:rPr>
          <w:rFonts w:ascii="Times New Roman"/>
          <w:b w:val="false"/>
          <w:i w:val="false"/>
          <w:color w:val="1b1b1b"/>
          <w:sz w:val="24"/>
          <w:lang w:val="pl-PL"/>
        </w:rPr>
        <w:t>art. 25</w:t>
      </w:r>
      <w:r>
        <w:rPr>
          <w:rFonts w:ascii="Times New Roman"/>
          <w:b w:val="false"/>
          <w:i w:val="false"/>
          <w:color w:val="000000"/>
          <w:sz w:val="24"/>
          <w:lang w:val="pl-PL"/>
        </w:rPr>
        <w:t xml:space="preserve"> stosuje się odpowiednio.</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W przypadku wykonywania działalności gospodarczej w spółce cywilnej zawieszenie wykonywania działalności gospodarczej jest skuteczne pod warunkiem jej zawieszenia przez wszystkich wspólników.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w:t>
      </w:r>
      <w:r>
        <w:rPr>
          <w:rFonts w:ascii="Times New Roman"/>
          <w:b/>
          <w:i w:val="false"/>
          <w:color w:val="000000"/>
          <w:sz w:val="24"/>
          <w:lang w:val="pl-PL"/>
        </w:rPr>
        <w:t xml:space="preserve"> [Zawieszenie wykonywania działalności gospodarczej przed przedsiębiorcę wpisanego do CEIDG lub KRS]</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Przedsiębiorca wpisany do Centralnej Ewidencji i Informacji o Działalności Gospodarczej może zawiesić wykonywanie działalności gospodarczej na czas nieokreślony albo określony, nie krótszy jednak niż 30 dni.</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Przedsiębiorca wpisany do rejestru przedsiębiorców Krajowego Rejestru Sądowego może zawiesić wykonywanie działalności gospodarczej na okres od 30 dni do 24 miesięcy.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Jeżeli okres zawieszenia wykonywania działalności gospodarczej obejmuje wyłącznie pełny miesiąc luty danego roku kalendarzowego, za minimalny okres zawieszenia wykonywania działalności gospodarczej przyjmuje się liczbę dni miesiąca lutego przypadającą w danym roku kalendarzowym.</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Do obliczania okresu zawieszenia wykonywania działalności gospodarczej stosuje się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14 czerwca 1960 r. - Kodeks postępowania administracyjnego (Dz. U. z 2024 r. poz. 572 oraz z 2025 r. poz. 769), zwanej dalej "Kodeksem postępowania administracyjnego".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w:t>
      </w:r>
      <w:r>
        <w:rPr>
          <w:rFonts w:ascii="Times New Roman"/>
          <w:b/>
          <w:i w:val="false"/>
          <w:color w:val="000000"/>
          <w:sz w:val="24"/>
          <w:lang w:val="pl-PL"/>
        </w:rPr>
        <w:t xml:space="preserve"> [Wnioskowy tryb zawieszenia wykonywania działalności gospodarczej; początek okresu zawieszenia; wpis informacji do rejestru przedsiębiorców lub do CEIDG]</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Zawieszenie wykonywania działalności gospodarczej oraz wznowienie wykonywania działalności gospodarczej następują na wniosek przedsiębiorcy, chyba że </w:t>
      </w:r>
      <w:r>
        <w:rPr>
          <w:rFonts w:ascii="Times New Roman"/>
          <w:b w:val="false"/>
          <w:i w:val="false"/>
          <w:color w:val="1b1b1b"/>
          <w:sz w:val="24"/>
          <w:lang w:val="pl-PL"/>
        </w:rPr>
        <w:t>przepis</w:t>
      </w:r>
      <w:r>
        <w:rPr>
          <w:rFonts w:ascii="Times New Roman"/>
          <w:b w:val="false"/>
          <w:i w:val="false"/>
          <w:color w:val="000000"/>
          <w:sz w:val="24"/>
          <w:lang w:val="pl-PL"/>
        </w:rPr>
        <w:t xml:space="preserve"> odrębny stanowi inaczej.</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 przypadku przedsiębiorcy wpisanego do Centralnej Ewidencji i Informacji o Działalności Gospodarczej okres zawieszenia wykonywania działalności gospodarczej rozpoczyna się od dnia wskazanego we wniosku o wpis informacji o zawieszeniu wykonywania działalności gospodarczej i trwa do dnia wskazanego w tym wniosku albo we wniosku o wznowienie wykonywania działalności gospodarczej albo do dnia ustanowienia zarządu sukcesyjnego.</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W przypadku przedsiębiorcy wpisanego do rejestru przedsiębiorców Krajowego Rejestru Sądowego okres zawieszenia wykonywania działalności gospodarczej rozpoczyna się od dnia wskazanego we wniosku o wpis informacji o zawieszeniu wykonywania działalności gospodarczej, nie wcześniej niż w dniu złożenia wniosku, i trwa do dnia wskazanego we wniosku o wpis informacji o wznowieniu wykonywania działalności gospodarczej, który nie może być wcześniejszy niż dzień złożenia wniosku.</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Wpis informacji o zawieszeniu wykonywania działalności gospodarczej oraz o wznowieniu wykonywania działalności gospodarczej w przypadku przedsiębiorców podlegających obowiązkowi wpisu do Centralnej Ewidencji i Informacji o Działalności Gospodarczej następuje na podstawie </w:t>
      </w:r>
      <w:r>
        <w:rPr>
          <w:rFonts w:ascii="Times New Roman"/>
          <w:b w:val="false"/>
          <w:i w:val="false"/>
          <w:color w:val="1b1b1b"/>
          <w:sz w:val="24"/>
          <w:lang w:val="pl-PL"/>
        </w:rPr>
        <w:t>przepisów</w:t>
      </w:r>
      <w:r>
        <w:rPr>
          <w:rFonts w:ascii="Times New Roman"/>
          <w:b w:val="false"/>
          <w:i w:val="false"/>
          <w:color w:val="000000"/>
          <w:sz w:val="24"/>
          <w:lang w:val="pl-PL"/>
        </w:rPr>
        <w:t xml:space="preserve"> o Centralnej Ewidencji i Informacji o Działalności Gospodarczej.</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Wpis informacji o zawieszeniu wykonywania działalności gospodarczej oraz o wznowieniu wykonywania działalności gospodarczej w przypadku przedsiębiorców podlegających obowiązkowi wpisu do rejestru przedsiębiorców Krajowego Rejestru Sądowego następuje na podstawie przepisów o Krajowym Rejestrze Sądowym.</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W przypadku przedsiębiorcy wpisanego do rejestru przedsiębiorców Krajowego Rejestru Sądowego okres zawieszenia wykonywania działalności gospodarczej trwa nie dłużej niż do dnia poprzedzającego dzień automatycznego wpisu informacji o wznowieniu wykonywania działalności gospodarczej na zasadach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20 sierpnia 1997 r. o Krajowym Rejestrze Sądowym (Dz. U. z 2025 r. poz. 869).</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W przypadku zobowiązań o charakterze publicznoprawnym zawieszenie wykonywania działalności gospodarczej wywiera skutki prawne od dnia, w którym rozpoczyna się zawieszenie wykonywania działalności gospodarczej, do dnia poprzedzającego dzień wznowienia wykonywania działalności gospodarczej.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w:t>
      </w:r>
      <w:r>
        <w:rPr>
          <w:rFonts w:ascii="Times New Roman"/>
          <w:b/>
          <w:i w:val="false"/>
          <w:color w:val="000000"/>
          <w:sz w:val="24"/>
          <w:lang w:val="pl-PL"/>
        </w:rPr>
        <w:t xml:space="preserve"> [Dozwolone działania przedsiębiorcy w okresie zawieszenia wykonywania działalności gospodarczej]</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 okresie zawieszenia wykonywania działalności gospodarczej przedsiębiorca nie może wykonywać działalności gospodarczej i osiągać bieżących przychodów z pozarolniczej działalności gospodarczej.</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 okresie zawieszenia wykonywania działalności gospodarczej przedsiębiorca:</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może wykonywać wszelkie czynności niezbędne do zachowania lub zabezpieczenia źródła przychodów, w tym rozwiązywania zawartych wcześniej umów;</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może przyjmować należności i jest obowiązany regulować zobowiązania, powstałe przed datą zawieszenia wykonywania działalności gospodarczej;</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może zbywać własne środki trwałe i wyposażenie;</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ma prawo albo obowiązek uczestniczyć w postępowaniach sądowych, postępowaniach podatkowych i administracyjnych związanych z działalnością gospodarczą wykonywaną przed datą zawieszenia wykonywania działalności gospodarczej;</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wykonuje wszelkie obowiązki nakazane przepisami prawa;</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może osiągać przychody finansowe, także z działalności prowadzonej przed datą zawieszenia wykonywania działalności gospodarczej;</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może zostać poddany kontroli na zasadach przewidzianych dla przedsiębiorców wykonujących działalność gospodarczą;</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może powołać albo odwołać zarządcę sukcesyjnego,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5 lipca 2018 r. o zarządzie sukcesyjnym przedsiębiorstwem osoby fizycznej i innych ułatwieniach związanych z sukcesją przedsiębiorstw (Dz. U. z 2021 r. poz. 170).</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w:t>
      </w:r>
      <w:r>
        <w:rPr>
          <w:rFonts w:ascii="Times New Roman"/>
          <w:b/>
          <w:i w:val="false"/>
          <w:color w:val="000000"/>
          <w:sz w:val="24"/>
          <w:lang w:val="pl-PL"/>
        </w:rPr>
        <w:t xml:space="preserve"> [Konsekwencje wykreślenia z CEIDG]</w:t>
      </w:r>
    </w:p>
    <w:p>
      <w:pPr>
        <w:spacing w:after="0"/>
        <w:ind w:left="0"/>
        <w:jc w:val="left"/>
        <w:textAlignment w:val="auto"/>
      </w:pPr>
      <w:r>
        <w:rPr>
          <w:rFonts w:ascii="Times New Roman"/>
          <w:b w:val="false"/>
          <w:i w:val="false"/>
          <w:color w:val="000000"/>
          <w:sz w:val="24"/>
          <w:lang w:val="pl-PL"/>
        </w:rPr>
        <w:t> Z chwilą wykreślenia z Centralnej Ewidencji i Informacji o Działalności Gospodarczej przedsiębiorca będący osobą fizyczną nie może wykonywać działalności gospodarczej.</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3</w:t>
      </w:r>
    </w:p>
    <w:p>
      <w:pPr>
        <w:spacing w:before="25" w:after="0"/>
        <w:ind w:left="0"/>
        <w:jc w:val="center"/>
        <w:textAlignment w:val="auto"/>
      </w:pPr>
      <w:r>
        <w:rPr>
          <w:rFonts w:ascii="Times New Roman"/>
          <w:b/>
          <w:i w:val="false"/>
          <w:color w:val="000000"/>
          <w:sz w:val="24"/>
          <w:lang w:val="pl-PL"/>
        </w:rPr>
        <w:t>Załatwianie spraw z zakresu działalności gospodarczej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w:t>
      </w:r>
      <w:r>
        <w:rPr>
          <w:rFonts w:ascii="Times New Roman"/>
          <w:b/>
          <w:i w:val="false"/>
          <w:color w:val="000000"/>
          <w:sz w:val="24"/>
          <w:lang w:val="pl-PL"/>
        </w:rPr>
        <w:t xml:space="preserve"> [Zasada szybkości postępowania]</w:t>
      </w:r>
    </w:p>
    <w:p>
      <w:pPr>
        <w:spacing w:after="0"/>
        <w:ind w:left="0"/>
        <w:jc w:val="left"/>
        <w:textAlignment w:val="auto"/>
      </w:pPr>
      <w:r>
        <w:rPr>
          <w:rFonts w:ascii="Times New Roman"/>
          <w:b w:val="false"/>
          <w:i w:val="false"/>
          <w:color w:val="000000"/>
          <w:sz w:val="24"/>
          <w:lang w:val="pl-PL"/>
        </w:rPr>
        <w:t> Organy działają w sprawach związanych z wykonywaniem działalności gospodarczej wnikliwie i szybko, posługując się możliwie najprostszymi środkami prowadzącymi do ich załatwienia.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w:t>
      </w:r>
      <w:r>
        <w:rPr>
          <w:rFonts w:ascii="Times New Roman"/>
          <w:b/>
          <w:i w:val="false"/>
          <w:color w:val="000000"/>
          <w:sz w:val="24"/>
          <w:lang w:val="pl-PL"/>
        </w:rPr>
        <w:t xml:space="preserve"> [Współdziałanie organów administracji publicznej]</w:t>
      </w:r>
    </w:p>
    <w:p>
      <w:pPr>
        <w:spacing w:after="0"/>
        <w:ind w:left="0"/>
        <w:jc w:val="left"/>
        <w:textAlignment w:val="auto"/>
      </w:pPr>
      <w:r>
        <w:rPr>
          <w:rFonts w:ascii="Times New Roman"/>
          <w:b w:val="false"/>
          <w:i w:val="false"/>
          <w:color w:val="000000"/>
          <w:sz w:val="24"/>
          <w:lang w:val="pl-PL"/>
        </w:rPr>
        <w:t> W toku postępowania organy współdziałają ze sobą w zakresie niezbędnym do dokładnego wyjaśnienia stanu faktycznego i prawnego sprawy, mając na względzie interes społeczny i słuszny interes przedsiębiorców oraz sprawność postępowania, przy pomocy środków adekwatnych do charakteru, okoliczności i stopnia złożoności sprawy.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28a.</w:t>
      </w:r>
      <w:r>
        <w:rPr>
          <w:rFonts w:ascii="Times New Roman"/>
          <w:b/>
          <w:i w:val="false"/>
          <w:color w:val="000000"/>
          <w:sz w:val="24"/>
          <w:lang w:val="pl-PL"/>
        </w:rPr>
        <w:t xml:space="preserve"> [Wystąpienie do przedsiębiorcy]</w:t>
      </w:r>
    </w:p>
    <w:p>
      <w:pPr>
        <w:spacing w:after="0"/>
        <w:ind w:left="0"/>
        <w:jc w:val="left"/>
        <w:textAlignment w:val="auto"/>
      </w:pPr>
      <w:r>
        <w:rPr>
          <w:rFonts w:ascii="Times New Roman"/>
          <w:b w:val="false"/>
          <w:i w:val="false"/>
          <w:color w:val="000000"/>
          <w:sz w:val="24"/>
          <w:lang w:val="pl-PL"/>
        </w:rPr>
        <w:t> Organ, bez wszczynania postępowania, może w zakresie swojej właściwości wystąpić do przedsiębiorcy w sprawach związanych z wykonywaną przez niego działalnością gospodarczą. Przedsiębiorca, do którego zostało skierowane wystąpienie, może w terminie określonym przez organ, nie krótszym niż 14 dni od dnia otrzymania wystąpienia, przekazać stanowisko w sprawie, której ono dotyczy.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w:t>
      </w:r>
      <w:r>
        <w:rPr>
          <w:rFonts w:ascii="Times New Roman"/>
          <w:b/>
          <w:i w:val="false"/>
          <w:color w:val="000000"/>
          <w:sz w:val="24"/>
          <w:lang w:val="pl-PL"/>
        </w:rPr>
        <w:t xml:space="preserve"> [Zakaz żądania przedłożenia dokumentu]</w:t>
      </w:r>
    </w:p>
    <w:p>
      <w:pPr>
        <w:spacing w:after="0"/>
        <w:ind w:left="0"/>
        <w:jc w:val="left"/>
        <w:textAlignment w:val="auto"/>
      </w:pPr>
      <w:r>
        <w:rPr>
          <w:rFonts w:ascii="Times New Roman"/>
          <w:b w:val="false"/>
          <w:i w:val="false"/>
          <w:color w:val="000000"/>
          <w:sz w:val="24"/>
          <w:lang w:val="pl-PL"/>
        </w:rPr>
        <w:t> Organ nie może żądać ani uzależniać swojego rozstrzygnięcia od przedłożenia dokumentów w formie oryginału, poświadczonej kopii lub poświadczonego tłumaczenia, chyba że obowiązek taki wynika z przepisów prawa.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w:t>
      </w:r>
      <w:r>
        <w:rPr>
          <w:rFonts w:ascii="Times New Roman"/>
          <w:b/>
          <w:i w:val="false"/>
          <w:color w:val="000000"/>
          <w:sz w:val="24"/>
          <w:lang w:val="pl-PL"/>
        </w:rPr>
        <w:t xml:space="preserve"> [Zasada "rozsądnych terminów"]</w:t>
      </w:r>
    </w:p>
    <w:p>
      <w:pPr>
        <w:spacing w:after="0"/>
        <w:ind w:left="0"/>
        <w:jc w:val="left"/>
        <w:textAlignment w:val="auto"/>
      </w:pPr>
      <w:r>
        <w:rPr>
          <w:rFonts w:ascii="Times New Roman"/>
          <w:b w:val="false"/>
          <w:i w:val="false"/>
          <w:color w:val="000000"/>
          <w:sz w:val="24"/>
          <w:lang w:val="pl-PL"/>
        </w:rPr>
        <w:t> Organ, wyznaczając przedsiębiorcy termin na dokonanie określonej czynności, uwzględnia czas niezbędny do jej wykonania, ważny interes publiczny oraz słuszny interes tego przedsiębiorcy.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30a.</w:t>
      </w:r>
      <w:r>
        <w:rPr>
          <w:rFonts w:ascii="Times New Roman"/>
          <w:b/>
          <w:i w:val="false"/>
          <w:color w:val="000000"/>
          <w:sz w:val="24"/>
          <w:lang w:val="pl-PL"/>
        </w:rPr>
        <w:t xml:space="preserve"> [Wyłączenie obowiązku przedkładania dokumentu pełnomocnictwa lub prokury]</w:t>
      </w:r>
    </w:p>
    <w:p>
      <w:pPr>
        <w:spacing w:after="0"/>
        <w:ind w:left="0"/>
        <w:jc w:val="left"/>
        <w:textAlignment w:val="auto"/>
      </w:pPr>
      <w:r>
        <w:rPr>
          <w:rFonts w:ascii="Times New Roman"/>
          <w:b w:val="false"/>
          <w:i w:val="false"/>
          <w:color w:val="000000"/>
          <w:sz w:val="24"/>
          <w:lang w:val="pl-PL"/>
        </w:rPr>
        <w:t xml:space="preserve"> W zakresie, w jakim informacja o pełnomocniku lub prokurencie umocowanym do działania w imieniu przedsiębiorcy została opublikowana za pośrednictwem systemu teleinformatycznego Centralnej Ewidencji i Informacji o Działalności Gospodarczej, albo w zakresie, w jakim dane pełnomocnika lub prokurenta zostały wpisane do rejestru przedsiębiorców Krajowego Rejestru Sądowego, do wykazania przed organem upoważnienia do prowadzenia sprawy w imieniu przedsiębiorcy nie stosuje się przepisu </w:t>
      </w:r>
      <w:r>
        <w:rPr>
          <w:rFonts w:ascii="Times New Roman"/>
          <w:b w:val="false"/>
          <w:i w:val="false"/>
          <w:color w:val="1b1b1b"/>
          <w:sz w:val="24"/>
          <w:lang w:val="pl-PL"/>
        </w:rPr>
        <w:t>art. 33 § 3</w:t>
      </w:r>
      <w:r>
        <w:rPr>
          <w:rFonts w:ascii="Times New Roman"/>
          <w:b w:val="false"/>
          <w:i w:val="false"/>
          <w:color w:val="000000"/>
          <w:sz w:val="24"/>
          <w:lang w:val="pl-PL"/>
        </w:rPr>
        <w:t xml:space="preserve"> Kodeksu postępowania administracyjnego. Organ z urzędu potwierdza w Centralnej Ewidencji i Informacji o Działalności Gospodarczej albo Krajowym Rejestrze Sądowym upoważnienie pełnomocnika lub prokurenta do prowadzenia sprawy w imieniu przedsiębiorcy. Ustalenie w tym zakresie utrwala się w aktach sprawy w formie adnotacji.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w:t>
      </w:r>
      <w:r>
        <w:rPr>
          <w:rFonts w:ascii="Times New Roman"/>
          <w:b/>
          <w:i w:val="false"/>
          <w:color w:val="000000"/>
          <w:sz w:val="24"/>
          <w:lang w:val="pl-PL"/>
        </w:rPr>
        <w:t xml:space="preserve"> [Obowiązek przyjęcia pisma lub wniosku niekompletnego]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Organ nie może odmówić przyjęcia pism i wniosków niekompletnych. Organ nie może żądać dokumentów lub ujawnienia danych, których konieczność przedstawienia, złożenia lub ujawnienia nie wynika z przepisu prawa lub danych, które są w posiadaniu organu lub do których ma dostęp na podstawie odrębnych przepisów.</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Niezastosowanie pieczątki na piśmie lub wniosku, a także niedołączenie do pisma lub wniosku wydruku komputerowego aktualnych lub pełnych informacji o podmiotach wpisanych do rejestru przedsiębiorców Krajowego Rejestru Sądowego albo zaświadczenia o wpisie do Centralnej Ewidencji i Informacji o Działalności Gospodarczej nie stanowią braku formalnego ani nie mogą być powodem, aby stwierdzić, że pismo lub wniosek są niekompletne, chyba że przepisy odrębne nakazują zastosowanie pieczątki lub dołączenie wydruku.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w:t>
      </w:r>
      <w:r>
        <w:rPr>
          <w:rFonts w:ascii="Times New Roman"/>
          <w:b/>
          <w:i w:val="false"/>
          <w:color w:val="000000"/>
          <w:sz w:val="24"/>
          <w:lang w:val="pl-PL"/>
        </w:rPr>
        <w:t xml:space="preserve"> [Potwierdzenie przyjęcia wniosku]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Organ, przyjmując wniosek, niezwłocznie potwierdza jego przyjęcie.</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Potwierdzenie przyjęcia wniosku zawiera:</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wskazanie daty wpływu oraz przewidywanego terminu rozpatrzenia wniosku;</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dane kontaktowe organu.</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Jeżeli wniosek dotyczy udzielenia koncesji lub zezwolenia lub wpisu do rejestru działalności regulowanej, potwierdzenie zawiera ponadto:</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pouczenie o przysługujących przedsiębiorcy środkach prawnych;</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przypadku gdy odrębne </w:t>
      </w:r>
      <w:r>
        <w:rPr>
          <w:rFonts w:ascii="Times New Roman"/>
          <w:b w:val="false"/>
          <w:i w:val="false"/>
          <w:color w:val="1b1b1b"/>
          <w:sz w:val="24"/>
          <w:lang w:val="pl-PL"/>
        </w:rPr>
        <w:t>przepisy</w:t>
      </w:r>
      <w:r>
        <w:rPr>
          <w:rFonts w:ascii="Times New Roman"/>
          <w:b w:val="false"/>
          <w:i w:val="false"/>
          <w:color w:val="000000"/>
          <w:sz w:val="24"/>
          <w:lang w:val="pl-PL"/>
        </w:rPr>
        <w:t xml:space="preserve"> przewidują milczące załatwienie sprawy - stosowne pouczenie.</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W przypadku złożenia niekompletnego pisma lub wniosku termin jego rozpatrzenia biegnie od dnia wpływu uzupełnionego pisma lub wniosku.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w:t>
      </w:r>
      <w:r>
        <w:rPr>
          <w:rFonts w:ascii="Times New Roman"/>
          <w:b/>
          <w:i w:val="false"/>
          <w:color w:val="000000"/>
          <w:sz w:val="24"/>
          <w:lang w:val="pl-PL"/>
        </w:rPr>
        <w:t xml:space="preserve"> [Objaśnienia prawne]</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Właściwi ministrowie oraz organy, które na podstawie odrębnych </w:t>
      </w:r>
      <w:r>
        <w:rPr>
          <w:rFonts w:ascii="Times New Roman"/>
          <w:b w:val="false"/>
          <w:i w:val="false"/>
          <w:color w:val="1b1b1b"/>
          <w:sz w:val="24"/>
          <w:lang w:val="pl-PL"/>
        </w:rPr>
        <w:t>przepisów</w:t>
      </w:r>
      <w:r>
        <w:rPr>
          <w:rFonts w:ascii="Times New Roman"/>
          <w:b w:val="false"/>
          <w:i w:val="false"/>
          <w:color w:val="000000"/>
          <w:sz w:val="24"/>
          <w:lang w:val="pl-PL"/>
        </w:rPr>
        <w:t xml:space="preserve"> są upoważnione do opracowywania i przedkładania Radzie Ministrów projektów aktów prawnych, dążą do zapewnienia jednolitego stosowania </w:t>
      </w:r>
      <w:r>
        <w:rPr>
          <w:rFonts w:ascii="Times New Roman"/>
          <w:b w:val="false"/>
          <w:i w:val="false"/>
          <w:color w:val="1b1b1b"/>
          <w:sz w:val="24"/>
          <w:lang w:val="pl-PL"/>
        </w:rPr>
        <w:t>przepisów</w:t>
      </w:r>
      <w:r>
        <w:rPr>
          <w:rFonts w:ascii="Times New Roman"/>
          <w:b w:val="false"/>
          <w:i w:val="false"/>
          <w:color w:val="000000"/>
          <w:sz w:val="24"/>
          <w:lang w:val="pl-PL"/>
        </w:rPr>
        <w:t xml:space="preserve"> prawa z zakresu działalności gospodarczej, w szczególności wydając, w zakresie swojej właściwości, z urzędu lub na wniosek Rzecznika Małych i Średnich Przedsiębiorców wyjaśnienia </w:t>
      </w:r>
      <w:r>
        <w:rPr>
          <w:rFonts w:ascii="Times New Roman"/>
          <w:b w:val="false"/>
          <w:i w:val="false"/>
          <w:color w:val="1b1b1b"/>
          <w:sz w:val="24"/>
          <w:lang w:val="pl-PL"/>
        </w:rPr>
        <w:t>przepisów</w:t>
      </w:r>
      <w:r>
        <w:rPr>
          <w:rFonts w:ascii="Times New Roman"/>
          <w:b w:val="false"/>
          <w:i w:val="false"/>
          <w:color w:val="000000"/>
          <w:sz w:val="24"/>
          <w:lang w:val="pl-PL"/>
        </w:rPr>
        <w:t xml:space="preserve"> regulujących podejmowanie, wykonywanie lub zakończenie działalności gospodarczej, dotyczące praktycznego ich stosowania (objaśnienia prawne), przy uwzględnieniu w szczególności orzecznictwa sądów, Trybunału Konstytucyjnego i Trybunału Sprawiedliwości Unii Europejskiej.</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Podmioty, o których mowa w </w:t>
      </w:r>
      <w:r>
        <w:rPr>
          <w:rFonts w:ascii="Times New Roman"/>
          <w:b w:val="false"/>
          <w:i w:val="false"/>
          <w:color w:val="1b1b1b"/>
          <w:sz w:val="24"/>
          <w:lang w:val="pl-PL"/>
        </w:rPr>
        <w:t>ust. 1</w:t>
      </w:r>
      <w:r>
        <w:rPr>
          <w:rFonts w:ascii="Times New Roman"/>
          <w:b w:val="false"/>
          <w:i w:val="false"/>
          <w:color w:val="000000"/>
          <w:sz w:val="24"/>
          <w:lang w:val="pl-PL"/>
        </w:rPr>
        <w:t>, mogą z urzędu lub na wniosek Rzecznika Małych i Średnich Przedsiębiorców zmienić wydane objaśnienia prawne, jeżeli stwierdzą ich nieprawidłowość, uwzględniając w szczególności orzecznictwo sądów, Trybunału Konstytucyjnego i Trybunału Sprawiedliwości Unii Europejskiej. Zmiana wydanych objaśnień prawnych nie ma wpływu na sytuację przedsiębiorców, którzy wcześniej zastosowali się do objaśnień prawnych w brzmieniu przed ich zmianą.</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Objaśnienia prawne są zamieszczane w Biuletynie Informacji Publicznej na stronie podmiotowej urzędu obsługującego właściwego ministra lub na stronie podmiotowej organu, o którym mowa w </w:t>
      </w:r>
      <w:r>
        <w:rPr>
          <w:rFonts w:ascii="Times New Roman"/>
          <w:b w:val="false"/>
          <w:i w:val="false"/>
          <w:color w:val="1b1b1b"/>
          <w:sz w:val="24"/>
          <w:lang w:val="pl-PL"/>
        </w:rPr>
        <w:t>ust. 1</w:t>
      </w:r>
      <w:r>
        <w:rPr>
          <w:rFonts w:ascii="Times New Roman"/>
          <w:b w:val="false"/>
          <w:i w:val="false"/>
          <w:color w:val="000000"/>
          <w:sz w:val="24"/>
          <w:lang w:val="pl-PL"/>
        </w:rPr>
        <w:t>, pod nazwą "objaśnienia prawne", wraz z oznaczeniem daty ich zamieszczenia.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w:t>
      </w:r>
      <w:r>
        <w:rPr>
          <w:rFonts w:ascii="Times New Roman"/>
          <w:b/>
          <w:i w:val="false"/>
          <w:color w:val="000000"/>
          <w:sz w:val="24"/>
          <w:lang w:val="pl-PL"/>
        </w:rPr>
        <w:t xml:space="preserve"> [Wydanie interpretacji indywidualnej]</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Przedsiębiorca może złożyć do właściwego organu lub właściwej państwowej jednostki organizacyjnej wniosek o wydanie wyjaśnienia co do zakresu i sposobu stosowania przepisów, z których wynika obowiązek świadczenia przez przedsiębiorcę daniny publicznej lub składek na ubezpieczenia społeczne lub zdrowotne, w jego indywidualnej sprawie (interpretacja indywidualna).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Wniosek o wydanie interpretacji indywidualnej może dotyczyć zaistniałego stanu faktycznego lub zdarzeń przyszłych.</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Przedsiębiorca we wniosku o wydanie interpretacji indywidualnej przedstawia zaistniały stan faktyczny lub zdarzenie przyszłe oraz własne stanowisko w sprawie.</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Wniosek o wydanie interpretacji indywidualnej zawiera także: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firmę przedsiębiorcy;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numer identyfikacji podatkowej (NIP);</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adres do korespondencji, w przypadku gdy jest on inny niż adres siedziby albo adres zamieszkania przedsiębiorcy.</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Udzielenie interpretacji indywidualnej następuje w drodze decyzji, od której służy odwołanie. Interpretacja indywidualna zawiera wyczerpujący opis przedstawionego we wniosku zaistniałego stanu faktycznego lub zdarzenia przyszłego oraz wskazanie prawidłowego stanowiska wraz z uzasadnieniem prawnym oraz z pouczeniem o prawie wniesienia środka zaskarżenia.</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Wniosek o wydanie interpretacji indywidualnej podlega opłacie w wysokości 40 zł. Opłatę wnosi się w terminie 7 dni od dnia złożenia wniosku.</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Jeżeli wniosek o wydanie interpretacji indywidualnej nie spełnia wymogów określonych w </w:t>
      </w:r>
      <w:r>
        <w:rPr>
          <w:rFonts w:ascii="Times New Roman"/>
          <w:b w:val="false"/>
          <w:i w:val="false"/>
          <w:color w:val="1b1b1b"/>
          <w:sz w:val="24"/>
          <w:lang w:val="pl-PL"/>
        </w:rPr>
        <w:t>ust. 1</w:t>
      </w:r>
      <w:r>
        <w:rPr>
          <w:rFonts w:ascii="Times New Roman"/>
          <w:b w:val="false"/>
          <w:i w:val="false"/>
          <w:color w:val="000000"/>
          <w:sz w:val="24"/>
          <w:lang w:val="pl-PL"/>
        </w:rPr>
        <w:t xml:space="preserve">, </w:t>
      </w:r>
      <w:r>
        <w:rPr>
          <w:rFonts w:ascii="Times New Roman"/>
          <w:b w:val="false"/>
          <w:i w:val="false"/>
          <w:color w:val="1b1b1b"/>
          <w:sz w:val="24"/>
          <w:lang w:val="pl-PL"/>
        </w:rPr>
        <w:t>3</w:t>
      </w:r>
      <w:r>
        <w:rPr>
          <w:rFonts w:ascii="Times New Roman"/>
          <w:b w:val="false"/>
          <w:i w:val="false"/>
          <w:color w:val="000000"/>
          <w:sz w:val="24"/>
          <w:lang w:val="pl-PL"/>
        </w:rPr>
        <w:t xml:space="preserve">, </w:t>
      </w:r>
      <w:r>
        <w:rPr>
          <w:rFonts w:ascii="Times New Roman"/>
          <w:b w:val="false"/>
          <w:i w:val="false"/>
          <w:color w:val="1b1b1b"/>
          <w:sz w:val="24"/>
          <w:lang w:val="pl-PL"/>
        </w:rPr>
        <w:t>4</w:t>
      </w:r>
      <w:r>
        <w:rPr>
          <w:rFonts w:ascii="Times New Roman"/>
          <w:b w:val="false"/>
          <w:i w:val="false"/>
          <w:color w:val="000000"/>
          <w:sz w:val="24"/>
          <w:lang w:val="pl-PL"/>
        </w:rPr>
        <w:t xml:space="preserve"> lub </w:t>
      </w:r>
      <w:r>
        <w:rPr>
          <w:rFonts w:ascii="Times New Roman"/>
          <w:b w:val="false"/>
          <w:i w:val="false"/>
          <w:color w:val="1b1b1b"/>
          <w:sz w:val="24"/>
          <w:lang w:val="pl-PL"/>
        </w:rPr>
        <w:t>6</w:t>
      </w:r>
      <w:r>
        <w:rPr>
          <w:rFonts w:ascii="Times New Roman"/>
          <w:b w:val="false"/>
          <w:i w:val="false"/>
          <w:color w:val="000000"/>
          <w:sz w:val="24"/>
          <w:lang w:val="pl-PL"/>
        </w:rPr>
        <w:t>, wzywa się przedsiębiorcę do usunięcia braków w terminie 7 dni, z pouczeniem, że nieusunięcie braków spowoduje pozostawienie wniosku bez rozpatrzenia. Jeżeli braki nie zostaną usunięte w tym terminie, wniosek pozostawia się bez rozpatrzenia. W sprawie pozostawienia wniosku bez rozpatrzenia wydaje się postanowienie, na które służy zażalenie.</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W przypadku wystąpienia w jednym wniosku o wydanie interpretacji indywidualnej odrębnych zaistniałych stanów faktycznych lub zdarzeń przyszłych pobiera się opłatę od każdego przedstawionego we wniosku odrębnego zaistniałego stanu faktycznego lub zdarzenia przyszłego.</w:t>
      </w:r>
    </w:p>
    <w:p>
      <w:pPr>
        <w:spacing w:before="26" w:after="0"/>
        <w:ind w:left="0"/>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Opłata za wniosek o wydanie interpretacji indywidualnej stanowi odpowiednio dochód budżetu państwa, Narodowego Funduszu Zdrowia albo jednostki samorządu terytorialnego.</w:t>
      </w:r>
    </w:p>
    <w:p>
      <w:pPr>
        <w:spacing w:before="26" w:after="0"/>
        <w:ind w:left="0"/>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Opłata za wniosek o wydanie interpretacji indywidualnej podlega zwrotowi wyłącznie w przypadku:</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wycofania wniosku przed jego rozpatrzeniem - w całości;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wycofania części wniosku w odniesieniu do przedstawionego w nim odrębnego zaistniałego stanu faktycznego lub zdarzenia przyszłego, przed rozpatrzeniem wniosku - w odpowiedniej części;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uiszczenia jej w kwocie wyższej od należnej - w odpowiedniej części;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pozostawienia wniosku bez rozpatrzenia - w całości.</w:t>
      </w:r>
    </w:p>
    <w:p>
      <w:pPr>
        <w:spacing w:before="26" w:after="0"/>
        <w:ind w:left="0"/>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Zwrot nienależnej opłaty za wniosek o wydanie interpretacji indywidualnej następuje nie później niż w terminie 7 dni od dnia zakończenia postępowania w sprawie wydania interpretacji indywidualnej.</w:t>
      </w:r>
    </w:p>
    <w:p>
      <w:pPr>
        <w:spacing w:before="26" w:after="0"/>
        <w:ind w:left="0"/>
        <w:jc w:val="left"/>
        <w:textAlignment w:val="auto"/>
      </w:pPr>
      <w:r>
        <w:rPr>
          <w:rFonts w:ascii="Times New Roman"/>
          <w:b w:val="false"/>
          <w:i w:val="false"/>
          <w:color w:val="000000"/>
          <w:sz w:val="24"/>
          <w:lang w:val="pl-PL"/>
        </w:rPr>
        <w:t>12.</w:t>
      </w:r>
      <w:r>
        <w:rPr>
          <w:rFonts w:ascii="Times New Roman"/>
          <w:b w:val="false"/>
          <w:i w:val="false"/>
          <w:color w:val="000000"/>
          <w:sz w:val="24"/>
          <w:lang w:val="pl-PL"/>
        </w:rPr>
        <w:t xml:space="preserve"> Interpretację indywidualną wydaje się bez zbędnej zwłoki, jednak nie później niż w terminie 30 dni od dnia wpływu do organu lub państwowej jednostki organizacyjnej kompletnego i opłaconego wniosku o wydanie interpretacji indywidualnej. W razie niewydania interpretacji indywidualnej w terminie uznaje się, że w dniu następującym po dniu, w którym upłynął termin wydania interpretacji indywidualnej, została wydana interpretacja indywidualna stwierdzająca prawidłowość stanowiska przedsiębiorcy przedstawionego we wniosku o wydanie interpretacji indywidualnej. Przepisy działu II rozdziału 8a </w:t>
      </w:r>
      <w:r>
        <w:rPr>
          <w:rFonts w:ascii="Times New Roman"/>
          <w:b w:val="false"/>
          <w:i w:val="false"/>
          <w:color w:val="1b1b1b"/>
          <w:sz w:val="24"/>
          <w:lang w:val="pl-PL"/>
        </w:rPr>
        <w:t>Kodeksu postępowania administracyjnego</w:t>
      </w:r>
      <w:r>
        <w:rPr>
          <w:rFonts w:ascii="Times New Roman"/>
          <w:b w:val="false"/>
          <w:i w:val="false"/>
          <w:color w:val="000000"/>
          <w:sz w:val="24"/>
          <w:lang w:val="pl-PL"/>
        </w:rPr>
        <w:t xml:space="preserve"> stosuje się.</w:t>
      </w:r>
    </w:p>
    <w:p>
      <w:pPr>
        <w:spacing w:before="26" w:after="0"/>
        <w:ind w:left="0"/>
        <w:jc w:val="left"/>
        <w:textAlignment w:val="auto"/>
      </w:pPr>
      <w:r>
        <w:rPr>
          <w:rFonts w:ascii="Times New Roman"/>
          <w:b w:val="false"/>
          <w:i w:val="false"/>
          <w:color w:val="000000"/>
          <w:sz w:val="24"/>
          <w:lang w:val="pl-PL"/>
        </w:rPr>
        <w:t>13.</w:t>
      </w:r>
      <w:r>
        <w:rPr>
          <w:rFonts w:ascii="Times New Roman"/>
          <w:b w:val="false"/>
          <w:i w:val="false"/>
          <w:color w:val="000000"/>
          <w:sz w:val="24"/>
          <w:lang w:val="pl-PL"/>
        </w:rPr>
        <w:t xml:space="preserve"> W przypadku doręczenia interpretacji indywidualnej za pomocą środków komunikacji elektronicznej interpretację indywidualną uważa się za wydaną z zachowaniem terminu, o którym mowa w </w:t>
      </w:r>
      <w:r>
        <w:rPr>
          <w:rFonts w:ascii="Times New Roman"/>
          <w:b w:val="false"/>
          <w:i w:val="false"/>
          <w:color w:val="1b1b1b"/>
          <w:sz w:val="24"/>
          <w:lang w:val="pl-PL"/>
        </w:rPr>
        <w:t>ust. 12</w:t>
      </w:r>
      <w:r>
        <w:rPr>
          <w:rFonts w:ascii="Times New Roman"/>
          <w:b w:val="false"/>
          <w:i w:val="false"/>
          <w:color w:val="000000"/>
          <w:sz w:val="24"/>
          <w:lang w:val="pl-PL"/>
        </w:rPr>
        <w:t xml:space="preserve">, jeżeli zawiadomienie, o którym mowa w </w:t>
      </w:r>
      <w:r>
        <w:rPr>
          <w:rFonts w:ascii="Times New Roman"/>
          <w:b w:val="false"/>
          <w:i w:val="false"/>
          <w:color w:val="1b1b1b"/>
          <w:sz w:val="24"/>
          <w:lang w:val="pl-PL"/>
        </w:rPr>
        <w:t>art. 46 § 4</w:t>
      </w:r>
      <w:r>
        <w:rPr>
          <w:rFonts w:ascii="Times New Roman"/>
          <w:b w:val="false"/>
          <w:i w:val="false"/>
          <w:color w:val="000000"/>
          <w:sz w:val="24"/>
          <w:lang w:val="pl-PL"/>
        </w:rPr>
        <w:t xml:space="preserve"> Kodeksu postępowania administracyjnego, zostało przesłane przed upływem tego terminu.</w:t>
      </w:r>
    </w:p>
    <w:p>
      <w:pPr>
        <w:spacing w:before="26" w:after="0"/>
        <w:ind w:left="0"/>
        <w:jc w:val="left"/>
        <w:textAlignment w:val="auto"/>
      </w:pPr>
      <w:r>
        <w:rPr>
          <w:rFonts w:ascii="Times New Roman"/>
          <w:b w:val="false"/>
          <w:i w:val="false"/>
          <w:color w:val="000000"/>
          <w:sz w:val="24"/>
          <w:lang w:val="pl-PL"/>
        </w:rPr>
        <w:t>14.</w:t>
      </w:r>
      <w:r>
        <w:rPr>
          <w:rFonts w:ascii="Times New Roman"/>
          <w:b w:val="false"/>
          <w:i w:val="false"/>
          <w:color w:val="000000"/>
          <w:sz w:val="24"/>
          <w:lang w:val="pl-PL"/>
        </w:rPr>
        <w:t> Właściwy do wydania interpretacji indywidualnej organ lub właściwa państwowa jednostka organizacyjna na wniosek przedsiębiorcy przekazuje mu, za pomocą środków komunikacji elektronicznej, informacje o dacie wydania interpretacji indywidualnej oraz o zawartej w niej ocenie jego stanowiska, nie później niż w dniu roboczym następującym po dniu wydania interpretacji indywidualnej.</w:t>
      </w:r>
    </w:p>
    <w:p>
      <w:pPr>
        <w:spacing w:before="26" w:after="0"/>
        <w:ind w:left="0"/>
        <w:jc w:val="left"/>
        <w:textAlignment w:val="auto"/>
      </w:pPr>
      <w:r>
        <w:rPr>
          <w:rFonts w:ascii="Times New Roman"/>
          <w:b w:val="false"/>
          <w:i w:val="false"/>
          <w:color w:val="000000"/>
          <w:sz w:val="24"/>
          <w:lang w:val="pl-PL"/>
        </w:rPr>
        <w:t>15.</w:t>
      </w:r>
      <w:r>
        <w:rPr>
          <w:rFonts w:ascii="Times New Roman"/>
          <w:b w:val="false"/>
          <w:i w:val="false"/>
          <w:color w:val="000000"/>
          <w:sz w:val="24"/>
          <w:lang w:val="pl-PL"/>
        </w:rPr>
        <w:t> Właściwy organ i właściwa państwowa jednostka organizacyjna niezwłocznie zamieszcza w Biuletynie Informacji Publicznej, na stronie podmiotowej urzędu obsługującego organ albo państwowej jednostki organizacyjnej, interpretacje indywidualne, po usunięciu danych identyfikujących przedsiębiorcę oraz inne podmioty wskazane w treści interpretacji indywidualnej. W przypadku uchylenia albo stwierdzenia nieważności interpretacji indywidualnej właściwy organ albo właściwa państwowa jednostka organizacyjna niezwłocznie usuwa interpretację indywidualną z Biuletynu Informacji Publicznej, z zamieszczeniem adnotacji o przyczynie usunięcia. W przypadku zmiany interpretacji indywidualnej właściwy organ albo właściwa państwowa jednostka organizacyjna niezwłocznie zamieszcza w Biuletynie Informacji Publicznej zmienioną interpretację indywidualną, z zamieszczeniem adnotacji o przyczynie zmiany.</w:t>
      </w:r>
    </w:p>
    <w:p>
      <w:pPr>
        <w:spacing w:before="26" w:after="0"/>
        <w:ind w:left="0"/>
        <w:jc w:val="left"/>
        <w:textAlignment w:val="auto"/>
      </w:pPr>
      <w:r>
        <w:rPr>
          <w:rFonts w:ascii="Times New Roman"/>
          <w:b w:val="false"/>
          <w:i w:val="false"/>
          <w:color w:val="000000"/>
          <w:sz w:val="24"/>
          <w:lang w:val="pl-PL"/>
        </w:rPr>
        <w:t>16.</w:t>
      </w:r>
      <w:r>
        <w:rPr>
          <w:rFonts w:ascii="Times New Roman"/>
          <w:b w:val="false"/>
          <w:i w:val="false"/>
          <w:color w:val="000000"/>
          <w:sz w:val="24"/>
          <w:lang w:val="pl-PL"/>
        </w:rPr>
        <w:t xml:space="preserve"> Do postępowań o wydanie interpretacji indywidualnej stosuje się przepisy </w:t>
      </w:r>
      <w:r>
        <w:rPr>
          <w:rFonts w:ascii="Times New Roman"/>
          <w:b w:val="false"/>
          <w:i w:val="false"/>
          <w:color w:val="1b1b1b"/>
          <w:sz w:val="24"/>
          <w:lang w:val="pl-PL"/>
        </w:rPr>
        <w:t>Kodeksu postępowania administracyjnego</w:t>
      </w:r>
      <w:r>
        <w:rPr>
          <w:rFonts w:ascii="Times New Roman"/>
          <w:b w:val="false"/>
          <w:i w:val="false"/>
          <w:color w:val="000000"/>
          <w:sz w:val="24"/>
          <w:lang w:val="pl-PL"/>
        </w:rPr>
        <w:t>, chyba że odrębne przepisy stanowią inaczej.</w:t>
      </w:r>
    </w:p>
    <w:p>
      <w:pPr>
        <w:spacing w:before="26" w:after="0"/>
        <w:ind w:left="0"/>
        <w:jc w:val="left"/>
        <w:textAlignment w:val="auto"/>
      </w:pPr>
      <w:r>
        <w:rPr>
          <w:rFonts w:ascii="Times New Roman"/>
          <w:b w:val="false"/>
          <w:i w:val="false"/>
          <w:color w:val="000000"/>
          <w:sz w:val="24"/>
          <w:lang w:val="pl-PL"/>
        </w:rPr>
        <w:t>17.</w:t>
      </w:r>
      <w:r>
        <w:rPr>
          <w:rFonts w:ascii="Times New Roman"/>
          <w:b w:val="false"/>
          <w:i w:val="false"/>
          <w:color w:val="000000"/>
          <w:sz w:val="24"/>
          <w:lang w:val="pl-PL"/>
        </w:rPr>
        <w:t xml:space="preserve"> Zasady i tryb udzielania interpretacji przepisów prawa podatkowego reguluje </w:t>
      </w:r>
      <w:r>
        <w:rPr>
          <w:rFonts w:ascii="Times New Roman"/>
          <w:b w:val="false"/>
          <w:i w:val="false"/>
          <w:color w:val="1b1b1b"/>
          <w:sz w:val="24"/>
          <w:lang w:val="pl-PL"/>
        </w:rPr>
        <w:t>ustawa</w:t>
      </w:r>
      <w:r>
        <w:rPr>
          <w:rFonts w:ascii="Times New Roman"/>
          <w:b w:val="false"/>
          <w:i w:val="false"/>
          <w:color w:val="000000"/>
          <w:sz w:val="24"/>
          <w:lang w:val="pl-PL"/>
        </w:rPr>
        <w:t xml:space="preserve"> z dnia 29 sierpnia 1997 r. - Ordynacja podatkowa (Dz. U. z 2025 r. poz. 111, z późn. zm.).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w:t>
      </w:r>
      <w:r>
        <w:rPr>
          <w:rFonts w:ascii="Times New Roman"/>
          <w:b/>
          <w:i w:val="false"/>
          <w:color w:val="000000"/>
          <w:sz w:val="24"/>
          <w:lang w:val="pl-PL"/>
        </w:rPr>
        <w:t xml:space="preserve"> [Związanie wykładnią; utrwalona praktyka interpretacyjna]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Interpretacja indywidualna nie jest wiążąca dla przedsiębiorcy, z tym że przedsiębiorca nie może być obciążony sankcjami administracyjnymi, finansowymi lub karami w zakresie, w jakim zastosował się do uzyskanej interpretacji indywidualnej ani daninami w wysokości wyższej niż wynikające z uzyskanej interpretacji indywidualnej.</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Interpretacja indywidualna jest wiążąca dla organów lub państwowych jednostek organizacyjnych właściwych dla przedsiębiorcy i może zostać zmieniona wyłącznie w drodze wznowienia postępowania. Nie zmienia się interpretacji, w wyniku której nastąpiły nieodwracalne skutki prawne.</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Przepis </w:t>
      </w:r>
      <w:r>
        <w:rPr>
          <w:rFonts w:ascii="Times New Roman"/>
          <w:b w:val="false"/>
          <w:i w:val="false"/>
          <w:color w:val="1b1b1b"/>
          <w:sz w:val="24"/>
          <w:lang w:val="pl-PL"/>
        </w:rPr>
        <w:t>ust. 1</w:t>
      </w:r>
      <w:r>
        <w:rPr>
          <w:rFonts w:ascii="Times New Roman"/>
          <w:b w:val="false"/>
          <w:i w:val="false"/>
          <w:color w:val="000000"/>
          <w:sz w:val="24"/>
          <w:lang w:val="pl-PL"/>
        </w:rPr>
        <w:t xml:space="preserve"> stosuje się odpowiednio w przypadku zastosowania się przedsiębiorcy do objaśnień prawnych lub utrwalonej praktyki interpretacyjnej właściwego organu lub właściwej państwowej jednostki organizacyjnej.</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Przez utrwaloną praktykę interpretacyjną, o której mowa w </w:t>
      </w:r>
      <w:r>
        <w:rPr>
          <w:rFonts w:ascii="Times New Roman"/>
          <w:b w:val="false"/>
          <w:i w:val="false"/>
          <w:color w:val="1b1b1b"/>
          <w:sz w:val="24"/>
          <w:lang w:val="pl-PL"/>
        </w:rPr>
        <w:t>ust. 3</w:t>
      </w:r>
      <w:r>
        <w:rPr>
          <w:rFonts w:ascii="Times New Roman"/>
          <w:b w:val="false"/>
          <w:i w:val="false"/>
          <w:color w:val="000000"/>
          <w:sz w:val="24"/>
          <w:lang w:val="pl-PL"/>
        </w:rPr>
        <w:t>, należy rozumieć wyjaśnienia co do zakresu i sposobu zastosowania przepisów, z których wynika obowiązek świadczenia przez przedsiębiorcę daniny publicznej lub składek na ubezpieczenia społeczne lub zdrowotne, dominujące w wydawanych w takich samych stanach faktycznych oraz takim samym stanie prawnym - w trakcie danego okresu rozliczeniowego oraz w okresie 12 miesięcy przed rozpoczęciem okresu rozliczeniowego - interpretacjach indywidualnych.</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W przypadku gdy do okresu rozliczeniowego, o którym mowa w </w:t>
      </w:r>
      <w:r>
        <w:rPr>
          <w:rFonts w:ascii="Times New Roman"/>
          <w:b w:val="false"/>
          <w:i w:val="false"/>
          <w:color w:val="1b1b1b"/>
          <w:sz w:val="24"/>
          <w:lang w:val="pl-PL"/>
        </w:rPr>
        <w:t>ust. 4</w:t>
      </w:r>
      <w:r>
        <w:rPr>
          <w:rFonts w:ascii="Times New Roman"/>
          <w:b w:val="false"/>
          <w:i w:val="false"/>
          <w:color w:val="000000"/>
          <w:sz w:val="24"/>
          <w:lang w:val="pl-PL"/>
        </w:rPr>
        <w:t xml:space="preserve">, oraz okresu 12 miesięcy przed rozpoczęciem tego okresu rozliczeniowego zastosowanie mają wydane w odniesieniu do takiego samego zagadnienia objaśnienia prawne, wydane w takim samym stanie prawnym przed rozpoczęciem lub w trakcie okresu rozliczeniowego, o którym mowa w </w:t>
      </w:r>
      <w:r>
        <w:rPr>
          <w:rFonts w:ascii="Times New Roman"/>
          <w:b w:val="false"/>
          <w:i w:val="false"/>
          <w:color w:val="1b1b1b"/>
          <w:sz w:val="24"/>
          <w:lang w:val="pl-PL"/>
        </w:rPr>
        <w:t>ust. 4</w:t>
      </w:r>
      <w:r>
        <w:rPr>
          <w:rFonts w:ascii="Times New Roman"/>
          <w:b w:val="false"/>
          <w:i w:val="false"/>
          <w:color w:val="000000"/>
          <w:sz w:val="24"/>
          <w:lang w:val="pl-PL"/>
        </w:rPr>
        <w:t xml:space="preserve">, począwszy od dnia zamieszczenia takich objaśnień prawnych zgodnie z </w:t>
      </w:r>
      <w:r>
        <w:rPr>
          <w:rFonts w:ascii="Times New Roman"/>
          <w:b w:val="false"/>
          <w:i w:val="false"/>
          <w:color w:val="1b1b1b"/>
          <w:sz w:val="24"/>
          <w:lang w:val="pl-PL"/>
        </w:rPr>
        <w:t>art. 33 ust. 3</w:t>
      </w:r>
      <w:r>
        <w:rPr>
          <w:rFonts w:ascii="Times New Roman"/>
          <w:b w:val="false"/>
          <w:i w:val="false"/>
          <w:color w:val="000000"/>
          <w:sz w:val="24"/>
          <w:lang w:val="pl-PL"/>
        </w:rPr>
        <w:t xml:space="preserve">, przez utrwaloną praktykę interpretacyjną, o której mowa w </w:t>
      </w:r>
      <w:r>
        <w:rPr>
          <w:rFonts w:ascii="Times New Roman"/>
          <w:b w:val="false"/>
          <w:i w:val="false"/>
          <w:color w:val="1b1b1b"/>
          <w:sz w:val="24"/>
          <w:lang w:val="pl-PL"/>
        </w:rPr>
        <w:t>ust. 3</w:t>
      </w:r>
      <w:r>
        <w:rPr>
          <w:rFonts w:ascii="Times New Roman"/>
          <w:b w:val="false"/>
          <w:i w:val="false"/>
          <w:color w:val="000000"/>
          <w:sz w:val="24"/>
          <w:lang w:val="pl-PL"/>
        </w:rPr>
        <w:t>, należy rozumieć wyjaśnienia co do zakresu i sposobu stosowania przepisów, z których wynika obowiązek świadczenia przez przedsiębiorcę daniny publicznej lub uiszczania składek na ubezpieczenia społeczne lub zdrowotne, wynikające z tych objaśnień prawnych.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w:t>
      </w:r>
      <w:r>
        <w:rPr>
          <w:rFonts w:ascii="Times New Roman"/>
          <w:b/>
          <w:i w:val="false"/>
          <w:color w:val="000000"/>
          <w:sz w:val="24"/>
          <w:lang w:val="pl-PL"/>
        </w:rPr>
        <w:t xml:space="preserve"> [Punkt Informacji dla Przedsiębiorcy]</w:t>
      </w:r>
    </w:p>
    <w:p>
      <w:pPr>
        <w:spacing w:after="0"/>
        <w:ind w:left="0"/>
        <w:jc w:val="left"/>
        <w:textAlignment w:val="auto"/>
      </w:pPr>
      <w:r>
        <w:rPr>
          <w:rFonts w:ascii="Times New Roman"/>
          <w:b w:val="false"/>
          <w:i w:val="false"/>
          <w:color w:val="000000"/>
          <w:sz w:val="24"/>
          <w:lang w:val="pl-PL"/>
        </w:rPr>
        <w:t xml:space="preserve"> Minister właściwy do spraw gospodarki prowadzi Punkt Informacji dla Przedsiębiorcy, który umożliwia w szczególności załatwianie spraw związanych z podejmowaniem, wykonywaniem i zakończeniem działalności gospodarczej oraz dostęp do informacji w tych sprawach. Szczegółowy zakres zadań oraz zasady funkcjonowania Punktu Informacji dla Przedsiębiorcy określają odrębne </w:t>
      </w:r>
      <w:r>
        <w:rPr>
          <w:rFonts w:ascii="Times New Roman"/>
          <w:b w:val="false"/>
          <w:i w:val="false"/>
          <w:color w:val="1b1b1b"/>
          <w:sz w:val="24"/>
          <w:lang w:val="pl-PL"/>
        </w:rPr>
        <w:t>przepisy</w:t>
      </w:r>
      <w:r>
        <w:rPr>
          <w:rFonts w:ascii="Times New Roman"/>
          <w:b w:val="false"/>
          <w:i w:val="false"/>
          <w:color w:val="000000"/>
          <w:sz w:val="24"/>
          <w:lang w:val="pl-PL"/>
        </w:rPr>
        <w:t>.</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4</w:t>
      </w:r>
    </w:p>
    <w:p>
      <w:pPr>
        <w:spacing w:before="25" w:after="0"/>
        <w:ind w:left="0"/>
        <w:jc w:val="center"/>
        <w:textAlignment w:val="auto"/>
      </w:pPr>
      <w:r>
        <w:rPr>
          <w:rFonts w:ascii="Times New Roman"/>
          <w:b/>
          <w:i w:val="false"/>
          <w:color w:val="000000"/>
          <w:sz w:val="24"/>
          <w:lang w:val="pl-PL"/>
        </w:rPr>
        <w:t>Reglamentacja działalności gospodarczej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w:t>
      </w:r>
      <w:r>
        <w:rPr>
          <w:rFonts w:ascii="Times New Roman"/>
          <w:b/>
          <w:i w:val="false"/>
          <w:color w:val="000000"/>
          <w:sz w:val="24"/>
          <w:lang w:val="pl-PL"/>
        </w:rPr>
        <w:t xml:space="preserve"> [Działalność gospodarcza koncesjonowana; organ koncesyjny]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Wykonywanie działalności gospodarczej w dziedzinach mających szczególne znaczenie ze względu na bezpieczeństwo państwa lub obywateli albo inny ważny interes publiczny wymaga uzyskania koncesji wyłącznie, gdy działalność ta nie może być wykonywana jako wolna albo po uzyskaniu wpisu do rejestru działalności regulowanej albo zezwolenia.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Udzielenie, odmowa udzielenia, zmiana, zawieszenie i cofnięcie koncesji albo ograniczenie jej zakresu w stosunku do wniosku o udzielenie koncesji następuje w drodze decyzji ministra właściwego ze względu na przedmiot działalności gospodarczej wymagającej uzyskania koncesji, chyba że odrębne </w:t>
      </w:r>
      <w:r>
        <w:rPr>
          <w:rFonts w:ascii="Times New Roman"/>
          <w:b w:val="false"/>
          <w:i w:val="false"/>
          <w:color w:val="1b1b1b"/>
          <w:sz w:val="24"/>
          <w:lang w:val="pl-PL"/>
        </w:rPr>
        <w:t>przepisy</w:t>
      </w:r>
      <w:r>
        <w:rPr>
          <w:rFonts w:ascii="Times New Roman"/>
          <w:b w:val="false"/>
          <w:i w:val="false"/>
          <w:color w:val="000000"/>
          <w:sz w:val="24"/>
          <w:lang w:val="pl-PL"/>
        </w:rPr>
        <w:t xml:space="preserve"> stanowią inaczej.</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Szczegółowy zakres i warunki wykonywania działalności gospodarczej podlegającej koncesjonowaniu, w szczególności zasady oraz tryb udzielania, zmiany, zawieszenia, cofnięcia albo ograniczenia zakresu koncesji, określają odrębne </w:t>
      </w:r>
      <w:r>
        <w:rPr>
          <w:rFonts w:ascii="Times New Roman"/>
          <w:b w:val="false"/>
          <w:i w:val="false"/>
          <w:color w:val="1b1b1b"/>
          <w:sz w:val="24"/>
          <w:lang w:val="pl-PL"/>
        </w:rPr>
        <w:t>przepisy</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w:t>
      </w:r>
      <w:r>
        <w:rPr>
          <w:rFonts w:ascii="Times New Roman"/>
          <w:b/>
          <w:i w:val="false"/>
          <w:color w:val="000000"/>
          <w:sz w:val="24"/>
          <w:lang w:val="pl-PL"/>
        </w:rPr>
        <w:t xml:space="preserve"> [Publikacja informacji o warunkach uzyskania koncesji]</w:t>
      </w:r>
    </w:p>
    <w:p>
      <w:pPr>
        <w:spacing w:after="0"/>
        <w:ind w:left="0"/>
        <w:jc w:val="left"/>
        <w:textAlignment w:val="auto"/>
      </w:pPr>
      <w:r>
        <w:rPr>
          <w:rFonts w:ascii="Times New Roman"/>
          <w:b w:val="false"/>
          <w:i w:val="false"/>
          <w:color w:val="000000"/>
          <w:sz w:val="24"/>
          <w:lang w:val="pl-PL"/>
        </w:rPr>
        <w:t> Organ koncesyjny zamieszcza w Biuletynie Informacji Publicznej, na stronie podmiotowej urzędu obsługującego organ, szczegółową informację o wszelkich warunkach uzyskania koncesji.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w:t>
      </w:r>
      <w:r>
        <w:rPr>
          <w:rFonts w:ascii="Times New Roman"/>
          <w:b/>
          <w:i w:val="false"/>
          <w:color w:val="000000"/>
          <w:sz w:val="24"/>
          <w:lang w:val="pl-PL"/>
        </w:rPr>
        <w:t xml:space="preserve"> [Odmowa udzielenia koncesji lub ograniczenie zakresu koncesji; czasowe wstrzymanie udzielania koncesji]</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Organ koncesyjny może odmówić udzielenia koncesji albo ograniczyć jej zakres w stosunku do wniosku o udzielenie koncesji albo odmówić zmiany koncesji: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 przypadku niespełnienia warunków udzielenia koncesji;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ze względu na zagrożenie obronności lub bezpieczeństwa państwa lub obywateli;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jeżeli w wyniku przeprowadzonej rozprawy albo przetargu udzielono koncesji innemu przedsiębiorcy lub przedsiębiorcom;</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 przypadku gdy wydano decyzję o stwierdzeniu niedopuszczalności wykonywania praw z udziałów albo akcji przedsiębiorcy,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24 lipca 2015 r. o kontroli niektórych inwestycji (Dz. U. z 2024 r. poz. 1459 oraz z 2025 r. poz. 973), jeżeli jest to w interesie publicznym;</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w przypadkach określonych w odrębnych </w:t>
      </w:r>
      <w:r>
        <w:rPr>
          <w:rFonts w:ascii="Times New Roman"/>
          <w:b w:val="false"/>
          <w:i w:val="false"/>
          <w:color w:val="1b1b1b"/>
          <w:sz w:val="24"/>
          <w:lang w:val="pl-PL"/>
        </w:rPr>
        <w:t>przepisach</w:t>
      </w:r>
      <w:r>
        <w:rPr>
          <w:rFonts w:ascii="Times New Roman"/>
          <w:b w:val="false"/>
          <w:i w:val="false"/>
          <w:color w:val="000000"/>
          <w:sz w:val="24"/>
          <w:lang w:val="pl-PL"/>
        </w:rPr>
        <w:t>.</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Organ koncesyjny może czasowo wstrzymać udzielanie koncesji, ze względu na przyczyny, o których mowa w </w:t>
      </w:r>
      <w:r>
        <w:rPr>
          <w:rFonts w:ascii="Times New Roman"/>
          <w:b w:val="false"/>
          <w:i w:val="false"/>
          <w:color w:val="1b1b1b"/>
          <w:sz w:val="24"/>
          <w:lang w:val="pl-PL"/>
        </w:rPr>
        <w:t>ust. 1 pkt 2</w:t>
      </w:r>
      <w:r>
        <w:rPr>
          <w:rFonts w:ascii="Times New Roman"/>
          <w:b w:val="false"/>
          <w:i w:val="false"/>
          <w:color w:val="000000"/>
          <w:sz w:val="24"/>
          <w:lang w:val="pl-PL"/>
        </w:rPr>
        <w:t xml:space="preserve"> lub </w:t>
      </w:r>
      <w:r>
        <w:rPr>
          <w:rFonts w:ascii="Times New Roman"/>
          <w:b w:val="false"/>
          <w:i w:val="false"/>
          <w:color w:val="1b1b1b"/>
          <w:sz w:val="24"/>
          <w:lang w:val="pl-PL"/>
        </w:rPr>
        <w:t>5</w:t>
      </w:r>
      <w:r>
        <w:rPr>
          <w:rFonts w:ascii="Times New Roman"/>
          <w:b w:val="false"/>
          <w:i w:val="false"/>
          <w:color w:val="000000"/>
          <w:sz w:val="24"/>
          <w:lang w:val="pl-PL"/>
        </w:rPr>
        <w:t>, ogłaszając o tym w Dzienniku Urzędowym Rzeczypospolitej Polskiej "Monitor Polski".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w:t>
      </w:r>
      <w:r>
        <w:rPr>
          <w:rFonts w:ascii="Times New Roman"/>
          <w:b/>
          <w:i w:val="false"/>
          <w:color w:val="000000"/>
          <w:sz w:val="24"/>
          <w:lang w:val="pl-PL"/>
        </w:rPr>
        <w:t xml:space="preserve"> [Kontrola koncesjonariusza]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Organ koncesyjny jest uprawniony do kontroli działalności gospodarczej w zakresie: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zgodności wykonywanej działalności z udzieloną koncesją;</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przestrzegania warunków wykonywania działalności gospodarczej;</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obronności lub bezpieczeństwa państwa, ochrony bezpieczeństwa lub dóbr osobistych obywateli.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Osoby upoważnione przez organ koncesyjny do dokonywania kontroli są uprawnione w szczególności do:</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wstępu na teren nieruchomości, obiektu, lokalu lub ich części, gdzie jest wykonywana działalność gospodarcza objęta koncesją, w dniach i w godzinach, w których ta działalność jest wykonywana lub powinna być wykonywana;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żądania ustnych lub pisemnych wyjaśnień, okazania dokumentów lub innych nośników informacji oraz udostępnienia danych mających związek z przedmiotem kontroli.</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W przypadku stwierdzenia w trakcie kontroli uchybień organ koncesyjny może wezwać przedsiębiorcę do ich usunięcia w wyznaczonym terminie.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w:t>
      </w:r>
      <w:r>
        <w:rPr>
          <w:rFonts w:ascii="Times New Roman"/>
          <w:b/>
          <w:i w:val="false"/>
          <w:color w:val="000000"/>
          <w:sz w:val="24"/>
          <w:lang w:val="pl-PL"/>
        </w:rPr>
        <w:t xml:space="preserve"> [Zezwolenie na wykonywanie działalności gospodarczej]</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Uzyskania zezwolenia wymaga wykonywanie działalności gospodarczej w zakresie określonym w odrębnych </w:t>
      </w:r>
      <w:r>
        <w:rPr>
          <w:rFonts w:ascii="Times New Roman"/>
          <w:b w:val="false"/>
          <w:i w:val="false"/>
          <w:color w:val="1b1b1b"/>
          <w:sz w:val="24"/>
          <w:lang w:val="pl-PL"/>
        </w:rPr>
        <w:t>przepisach</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Organy zezwalające oraz warunki wykonywania działalności objętej zezwoleniem, w szczególności zasady oraz tryb udzielania, odmowy udzielenia, zmiany, zawieszenia, cofnięcia albo ograniczenia zakresu zezwolenia, określają odrębne </w:t>
      </w:r>
      <w:r>
        <w:rPr>
          <w:rFonts w:ascii="Times New Roman"/>
          <w:b w:val="false"/>
          <w:i w:val="false"/>
          <w:color w:val="1b1b1b"/>
          <w:sz w:val="24"/>
          <w:lang w:val="pl-PL"/>
        </w:rPr>
        <w:t>przepisy</w:t>
      </w:r>
      <w:r>
        <w:rPr>
          <w:rFonts w:ascii="Times New Roman"/>
          <w:b w:val="false"/>
          <w:i w:val="false"/>
          <w:color w:val="000000"/>
          <w:sz w:val="24"/>
          <w:lang w:val="pl-PL"/>
        </w:rPr>
        <w:t>, o ile niniejsza ustawa nie stanowi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w:t>
      </w:r>
      <w:r>
        <w:rPr>
          <w:rFonts w:ascii="Times New Roman"/>
          <w:b/>
          <w:i w:val="false"/>
          <w:color w:val="000000"/>
          <w:sz w:val="24"/>
          <w:lang w:val="pl-PL"/>
        </w:rPr>
        <w:t xml:space="preserve"> [Warunki udzielenia zezwolenia na wykonywanie działalności gospodarczej]</w:t>
      </w:r>
    </w:p>
    <w:p>
      <w:pPr>
        <w:spacing w:after="0"/>
        <w:ind w:left="0"/>
        <w:jc w:val="left"/>
        <w:textAlignment w:val="auto"/>
      </w:pPr>
      <w:r>
        <w:rPr>
          <w:rFonts w:ascii="Times New Roman"/>
          <w:b w:val="false"/>
          <w:i w:val="false"/>
          <w:color w:val="000000"/>
          <w:sz w:val="24"/>
          <w:lang w:val="pl-PL"/>
        </w:rPr>
        <w:t> Organ zezwalający udziela zezwolenia na wykonywanie działalności gospodarczej przedsiębiorcy spełniającemu wymagane prawem warunki uzyskania zezwolenia.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w:t>
      </w:r>
      <w:r>
        <w:rPr>
          <w:rFonts w:ascii="Times New Roman"/>
          <w:b/>
          <w:i w:val="false"/>
          <w:color w:val="000000"/>
          <w:sz w:val="24"/>
          <w:lang w:val="pl-PL"/>
        </w:rPr>
        <w:t xml:space="preserve"> [Wpis przedsiębiorcy do rejestru działalności regulowanej; Kontrola regulowanej działalności gospodarczej]</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Jeżeli odrębne </w:t>
      </w:r>
      <w:r>
        <w:rPr>
          <w:rFonts w:ascii="Times New Roman"/>
          <w:b w:val="false"/>
          <w:i w:val="false"/>
          <w:color w:val="1b1b1b"/>
          <w:sz w:val="24"/>
          <w:lang w:val="pl-PL"/>
        </w:rPr>
        <w:t>przepisy</w:t>
      </w:r>
      <w:r>
        <w:rPr>
          <w:rFonts w:ascii="Times New Roman"/>
          <w:b w:val="false"/>
          <w:i w:val="false"/>
          <w:color w:val="000000"/>
          <w:sz w:val="24"/>
          <w:lang w:val="pl-PL"/>
        </w:rPr>
        <w:t xml:space="preserve"> stanowią, że dany rodzaj działalności jest działalnością regulowaną, przedsiębiorca może wykonywać tę działalność, jeśli spełnia warunki określone tymi przepisami i po uzyskaniu wpisu do właściwego rejestru działalności regulowanej.</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Organ prowadzący rejestr działalności regulowanej dokonuje wpisu na wniosek przedsiębiorcy, po złożeniu przez przedsiębiorcę do organu prowadzącego rejestr działalności regulowanej oświadczenia o spełnieniu warunków wymaganych prawem do wykonywania tej działalności. Przedsiębiorca podlegający wpisowi do Centralnej Ewidencji i Informacji o Działalności Gospodarczej może złożyć wniosek wraz z oświadczeniem również w urzędzie gminy, wskazując organ prowadzący rejestr działalności regulowanej.</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Organ prowadzący rejestr działalności regulowanej, w drodze decyzji, odmawia wpisu przedsiębiorcy do rejestru:</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jeżeli wydano prawomocne orzeczenie zakazujące przedsiębiorcy wykonywania działalności gospodarczej objętej wpisem;</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jeżeli przedsiębiorcę wykreślono z rejestru tej działalności regulowanej w wyniku wydania przez organ prowadzący rejestr decyzji o zakazie wykonywania przez przedsiębiorcę działalności objętej wpisem w okresie 3 lat poprzedzających złożenie wniosku;</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 przypadkach określonych w odrębnych </w:t>
      </w:r>
      <w:r>
        <w:rPr>
          <w:rFonts w:ascii="Times New Roman"/>
          <w:b w:val="false"/>
          <w:i w:val="false"/>
          <w:color w:val="1b1b1b"/>
          <w:sz w:val="24"/>
          <w:lang w:val="pl-PL"/>
        </w:rPr>
        <w:t>przepisach</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Rejestry działalności regulowanej są jawne. Dane z rejestrów dotyczące firmy przedsiębiorcy oraz jego numeru identyfikacji podatkowej (NIP) są udostępniane w sieci teleinformatycznej. Organ może udostępnić w sieci teleinformatycznej także inne dane, z uwzględnieniem </w:t>
      </w:r>
      <w:r>
        <w:rPr>
          <w:rFonts w:ascii="Times New Roman"/>
          <w:b w:val="false"/>
          <w:i w:val="false"/>
          <w:color w:val="1b1b1b"/>
          <w:sz w:val="24"/>
          <w:lang w:val="pl-PL"/>
        </w:rPr>
        <w:t>przepisów</w:t>
      </w:r>
      <w:r>
        <w:rPr>
          <w:rFonts w:ascii="Times New Roman"/>
          <w:b w:val="false"/>
          <w:i w:val="false"/>
          <w:color w:val="000000"/>
          <w:sz w:val="24"/>
          <w:lang w:val="pl-PL"/>
        </w:rPr>
        <w:t xml:space="preserve"> o ochronie danych osobowych.</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Dla przedsiębiorcy wpisanego do rejestru prowadzi się akta rejestrowe, obejmujące w szczególności dokumenty stanowiące podstawę wpisu oraz decyzje dotyczące wykreślenia wpisu.</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Przedsiębiorca przechowuje wszystkie dokumenty niezbędne do wykazania spełniania warunków wymaganych prawem do wykonywania działalności regulowanej.</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Spełnianie przez przedsiębiorcę warunków wymaganych prawem do wykonywania działalności regulowanej podlega kontroli, w szczególności przez organ prowadzący rejestr tej działalności. Przepisy </w:t>
      </w:r>
      <w:r>
        <w:rPr>
          <w:rFonts w:ascii="Times New Roman"/>
          <w:b w:val="false"/>
          <w:i w:val="false"/>
          <w:color w:val="1b1b1b"/>
          <w:sz w:val="24"/>
          <w:lang w:val="pl-PL"/>
        </w:rPr>
        <w:t>art. 40</w:t>
      </w:r>
      <w:r>
        <w:rPr>
          <w:rFonts w:ascii="Times New Roman"/>
          <w:b w:val="false"/>
          <w:i w:val="false"/>
          <w:color w:val="000000"/>
          <w:sz w:val="24"/>
          <w:lang w:val="pl-PL"/>
        </w:rPr>
        <w:t xml:space="preserve"> stosuje się odpowiednio.</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Odrębne </w:t>
      </w:r>
      <w:r>
        <w:rPr>
          <w:rFonts w:ascii="Times New Roman"/>
          <w:b w:val="false"/>
          <w:i w:val="false"/>
          <w:color w:val="1b1b1b"/>
          <w:sz w:val="24"/>
          <w:lang w:val="pl-PL"/>
        </w:rPr>
        <w:t>przepisy</w:t>
      </w:r>
      <w:r>
        <w:rPr>
          <w:rFonts w:ascii="Times New Roman"/>
          <w:b w:val="false"/>
          <w:i w:val="false"/>
          <w:color w:val="000000"/>
          <w:sz w:val="24"/>
          <w:lang w:val="pl-PL"/>
        </w:rPr>
        <w:t xml:space="preserve"> określają w szczególności warunki wymagane prawem do wykonywania działalności regulowanej oraz tryb uzyskiwania wpisu do rejestru działalności regulowanej i wykreślenia z tego rejestru.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w:t>
      </w:r>
      <w:r>
        <w:rPr>
          <w:rFonts w:ascii="Times New Roman"/>
          <w:b/>
          <w:i w:val="false"/>
          <w:color w:val="000000"/>
          <w:sz w:val="24"/>
          <w:lang w:val="pl-PL"/>
        </w:rPr>
        <w:t xml:space="preserve"> [Zakres czasowy i terytorialny koncesji, zezwolenia lub wpisu do rejestru działalności regulowanej; lista rodzajów działalności gospodarczej wymagających uzyskania koncesji, zezwolenia albo wpisu do rejestru działalności regulowanej]</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Koncesja, zezwolenie albo wpis do rejestru działalności regulowanej uprawniają do wykonywania działalności gospodarczej na terenie całego kraju i przez czas nieokreślony, chyba że odrębne </w:t>
      </w:r>
      <w:r>
        <w:rPr>
          <w:rFonts w:ascii="Times New Roman"/>
          <w:b w:val="false"/>
          <w:i w:val="false"/>
          <w:color w:val="1b1b1b"/>
          <w:sz w:val="24"/>
          <w:lang w:val="pl-PL"/>
        </w:rPr>
        <w:t>przepisy</w:t>
      </w:r>
      <w:r>
        <w:rPr>
          <w:rFonts w:ascii="Times New Roman"/>
          <w:b w:val="false"/>
          <w:i w:val="false"/>
          <w:color w:val="000000"/>
          <w:sz w:val="24"/>
          <w:lang w:val="pl-PL"/>
        </w:rPr>
        <w:t xml:space="preserve"> stanowią inaczej.</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Jeżeli </w:t>
      </w:r>
      <w:r>
        <w:rPr>
          <w:rFonts w:ascii="Times New Roman"/>
          <w:b w:val="false"/>
          <w:i w:val="false"/>
          <w:color w:val="1b1b1b"/>
          <w:sz w:val="24"/>
          <w:lang w:val="pl-PL"/>
        </w:rPr>
        <w:t>przepisy</w:t>
      </w:r>
      <w:r>
        <w:rPr>
          <w:rFonts w:ascii="Times New Roman"/>
          <w:b w:val="false"/>
          <w:i w:val="false"/>
          <w:color w:val="000000"/>
          <w:sz w:val="24"/>
          <w:lang w:val="pl-PL"/>
        </w:rPr>
        <w:t xml:space="preserve"> regulujące daną działalność gospodarczą stanowią, że wydawanie, odmowa wydania, zmiana zakresu i cofanie koncesji i zezwoleń, a także prowadzenie rejestrów działalności regulowanej należy do zadań organów jednostek samorządu terytorialnego, to zadania te są wykonywane jako zadania zlecone z zakresu administracji rządowej.</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Jeżeli z odrębnych </w:t>
      </w:r>
      <w:r>
        <w:rPr>
          <w:rFonts w:ascii="Times New Roman"/>
          <w:b w:val="false"/>
          <w:i w:val="false"/>
          <w:color w:val="1b1b1b"/>
          <w:sz w:val="24"/>
          <w:lang w:val="pl-PL"/>
        </w:rPr>
        <w:t>przepisów</w:t>
      </w:r>
      <w:r>
        <w:rPr>
          <w:rFonts w:ascii="Times New Roman"/>
          <w:b w:val="false"/>
          <w:i w:val="false"/>
          <w:color w:val="000000"/>
          <w:sz w:val="24"/>
          <w:lang w:val="pl-PL"/>
        </w:rPr>
        <w:t xml:space="preserve"> wynika, że wykonywanie działalności gospodarczej wymaga uzyskania koncesji, zezwolenia albo wpisu do rejestru działalności regulowanej, do działalności tej przepisu </w:t>
      </w:r>
      <w:r>
        <w:rPr>
          <w:rFonts w:ascii="Times New Roman"/>
          <w:b w:val="false"/>
          <w:i w:val="false"/>
          <w:color w:val="1b1b1b"/>
          <w:sz w:val="24"/>
          <w:lang w:val="pl-PL"/>
        </w:rPr>
        <w:t>art. 5 ust. 1</w:t>
      </w:r>
      <w:r>
        <w:rPr>
          <w:rFonts w:ascii="Times New Roman"/>
          <w:b w:val="false"/>
          <w:i w:val="false"/>
          <w:color w:val="000000"/>
          <w:sz w:val="24"/>
          <w:lang w:val="pl-PL"/>
        </w:rPr>
        <w:t xml:space="preserve"> nie stosuje się.</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Punkt Informacji dla Przedsiębiorcy udostępnia listę rodzajów działalności gospodarczej wymagających uzyskania koncesji, zezwolenia albo wpisu do rejestru działalności regulowanej, wraz ze wskazaniem odpowiednich aktów prawnych.</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5</w:t>
      </w:r>
    </w:p>
    <w:p>
      <w:pPr>
        <w:spacing w:before="25" w:after="0"/>
        <w:ind w:left="0"/>
        <w:jc w:val="center"/>
        <w:textAlignment w:val="auto"/>
      </w:pPr>
      <w:r>
        <w:rPr>
          <w:rFonts w:ascii="Times New Roman"/>
          <w:b/>
          <w:i w:val="false"/>
          <w:color w:val="000000"/>
          <w:sz w:val="24"/>
          <w:lang w:val="pl-PL"/>
        </w:rPr>
        <w:t>Ograniczenia kontroli działalności gospodarczej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w:t>
      </w:r>
      <w:r>
        <w:rPr>
          <w:rFonts w:ascii="Times New Roman"/>
          <w:b/>
          <w:i w:val="false"/>
          <w:color w:val="000000"/>
          <w:sz w:val="24"/>
          <w:lang w:val="pl-PL"/>
        </w:rPr>
        <w:t xml:space="preserve"> [Zasady i tryb kontroli]</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Kontrola działalności gospodarczej przedsiębiorców jest przeprowadzana na zasadach określonych w niniejszej ustawie, chyba że zasady i tryb kontroli wynikają z ratyfikowanych umów międzynarodowych albo bezpośrednio stosowanych przepisów prawa Unii Europejskiej.</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zakresie nieuregulowanym w niniejszym rozdziale stosuje się odrębne </w:t>
      </w:r>
      <w:r>
        <w:rPr>
          <w:rFonts w:ascii="Times New Roman"/>
          <w:b w:val="false"/>
          <w:i w:val="false"/>
          <w:color w:val="1b1b1b"/>
          <w:sz w:val="24"/>
          <w:lang w:val="pl-PL"/>
        </w:rPr>
        <w:t>przepisy</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Zakres przedmiotowy kontroli działalności gospodarczej przedsiębiorcy objętej kontrolą oraz organy upoważnione do jej przeprowadzenia określają odrębne </w:t>
      </w:r>
      <w:r>
        <w:rPr>
          <w:rFonts w:ascii="Times New Roman"/>
          <w:b w:val="false"/>
          <w:i w:val="false"/>
          <w:color w:val="1b1b1b"/>
          <w:sz w:val="24"/>
          <w:lang w:val="pl-PL"/>
        </w:rPr>
        <w:t>przepisy</w:t>
      </w:r>
      <w:r>
        <w:rPr>
          <w:rFonts w:ascii="Times New Roman"/>
          <w:b w:val="false"/>
          <w:i w:val="false"/>
          <w:color w:val="000000"/>
          <w:sz w:val="24"/>
          <w:lang w:val="pl-PL"/>
        </w:rPr>
        <w:t xml:space="preserve">, z uwzględnieniem przepisów </w:t>
      </w:r>
      <w:r>
        <w:rPr>
          <w:rFonts w:ascii="Times New Roman"/>
          <w:b w:val="false"/>
          <w:i w:val="false"/>
          <w:color w:val="1b1b1b"/>
          <w:sz w:val="24"/>
          <w:lang w:val="pl-PL"/>
        </w:rPr>
        <w:t>art. 40</w:t>
      </w:r>
      <w:r>
        <w:rPr>
          <w:rFonts w:ascii="Times New Roman"/>
          <w:b w:val="false"/>
          <w:i w:val="false"/>
          <w:color w:val="000000"/>
          <w:sz w:val="24"/>
          <w:lang w:val="pl-PL"/>
        </w:rPr>
        <w:t xml:space="preserve"> i </w:t>
      </w:r>
      <w:r>
        <w:rPr>
          <w:rFonts w:ascii="Times New Roman"/>
          <w:b w:val="false"/>
          <w:i w:val="false"/>
          <w:color w:val="1b1b1b"/>
          <w:sz w:val="24"/>
          <w:lang w:val="pl-PL"/>
        </w:rPr>
        <w:t>art. 43 ust. 7</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w:t>
      </w:r>
      <w:r>
        <w:rPr>
          <w:rFonts w:ascii="Times New Roman"/>
          <w:b/>
          <w:i w:val="false"/>
          <w:color w:val="000000"/>
          <w:sz w:val="24"/>
          <w:lang w:val="pl-PL"/>
        </w:rPr>
        <w:t xml:space="preserve"> [Odszkodowanie za szkodę poniesioną w związku z czynnościami kontrolnymi wykonywanymi niezgodnie z prawem]</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Przedsiębiorcy, który poniósł szkodę na skutek wykonania czynności kontrolnych z naruszeniem przepisów prawa, przysługuje odszkodowanie.</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Dochodzenie roszczenia, o którym mowa w </w:t>
      </w:r>
      <w:r>
        <w:rPr>
          <w:rFonts w:ascii="Times New Roman"/>
          <w:b w:val="false"/>
          <w:i w:val="false"/>
          <w:color w:val="1b1b1b"/>
          <w:sz w:val="24"/>
          <w:lang w:val="pl-PL"/>
        </w:rPr>
        <w:t>ust. 1</w:t>
      </w:r>
      <w:r>
        <w:rPr>
          <w:rFonts w:ascii="Times New Roman"/>
          <w:b w:val="false"/>
          <w:i w:val="false"/>
          <w:color w:val="000000"/>
          <w:sz w:val="24"/>
          <w:lang w:val="pl-PL"/>
        </w:rPr>
        <w:t xml:space="preserve">, następuje na zasadach i w trybie określonych w odrębnych </w:t>
      </w:r>
      <w:r>
        <w:rPr>
          <w:rFonts w:ascii="Times New Roman"/>
          <w:b w:val="false"/>
          <w:i w:val="false"/>
          <w:color w:val="1b1b1b"/>
          <w:sz w:val="24"/>
          <w:lang w:val="pl-PL"/>
        </w:rPr>
        <w:t>przepisach</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Dowody przeprowadzone w toku kontroli przez organ kontroli z naruszeniem </w:t>
      </w:r>
      <w:r>
        <w:rPr>
          <w:rFonts w:ascii="Times New Roman"/>
          <w:b w:val="false"/>
          <w:i w:val="false"/>
          <w:color w:val="1b1b1b"/>
          <w:sz w:val="24"/>
          <w:lang w:val="pl-PL"/>
        </w:rPr>
        <w:t>przepisów</w:t>
      </w:r>
      <w:r>
        <w:rPr>
          <w:rFonts w:ascii="Times New Roman"/>
          <w:b w:val="false"/>
          <w:i w:val="false"/>
          <w:color w:val="000000"/>
          <w:sz w:val="24"/>
          <w:lang w:val="pl-PL"/>
        </w:rPr>
        <w:t xml:space="preserve"> ustawy lub z naruszeniem innych </w:t>
      </w:r>
      <w:r>
        <w:rPr>
          <w:rFonts w:ascii="Times New Roman"/>
          <w:b w:val="false"/>
          <w:i w:val="false"/>
          <w:color w:val="1b1b1b"/>
          <w:sz w:val="24"/>
          <w:lang w:val="pl-PL"/>
        </w:rPr>
        <w:t>przepisów</w:t>
      </w:r>
      <w:r>
        <w:rPr>
          <w:rFonts w:ascii="Times New Roman"/>
          <w:b w:val="false"/>
          <w:i w:val="false"/>
          <w:color w:val="000000"/>
          <w:sz w:val="24"/>
          <w:lang w:val="pl-PL"/>
        </w:rPr>
        <w:t xml:space="preserve"> prawa w zakresie kontroli działalności gospodarczej przedsiębiorcy, jeżeli miały istotny wpływ na wyniki kontroli, nie mogą stanowić dowodu w postępowaniu administracyjnym, podatkowym, karnym lub karnym skarbowym dotyczącym przedsiębiorcy.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w:t>
      </w:r>
      <w:r>
        <w:rPr>
          <w:rFonts w:ascii="Times New Roman"/>
          <w:b/>
          <w:i w:val="false"/>
          <w:color w:val="000000"/>
          <w:sz w:val="24"/>
          <w:lang w:val="pl-PL"/>
        </w:rPr>
        <w:t xml:space="preserve"> [Analiza prawdopodobieństwa naruszenia prawa]</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vertAlign w:val="superscript"/>
          <w:lang w:val="pl-PL"/>
        </w:rPr>
        <w:t>5</w:t>
      </w:r>
      <w:r>
        <w:rPr>
          <w:rFonts w:ascii="Times New Roman"/>
          <w:b w:val="false"/>
          <w:i w:val="false"/>
          <w:color w:val="000000"/>
          <w:sz w:val="24"/>
          <w:lang w:val="pl-PL"/>
        </w:rPr>
        <w:t xml:space="preserve"> </w:t>
      </w:r>
      <w:r>
        <w:rPr>
          <w:rFonts w:ascii="Times New Roman"/>
          <w:b w:val="false"/>
          <w:i w:val="false"/>
          <w:color w:val="000000"/>
          <w:sz w:val="24"/>
          <w:lang w:val="pl-PL"/>
        </w:rPr>
        <w:t>  Kontrole przeprowadza się zgodnie z okresowym planem kontroli po uprzednim dokonaniu okresowej analizy prawdopodobieństwa naruszenia prawa w ramach wykonywania działalności gospodarczej (kontrola planowa). Analiza obejmuje identyfikację obszarów podmiotowych i przedmiotowych, w których ryzyko naruszenia przepisów jest największe. W oparciu o wyniki analizy określa się zasady umożliwiające przypisanie przedsiębiorców do jednej z następujących kategorii ryzyka: niskie, średnie, wysokie. Sposób przeprowadzenia analizy określa organ kontroli lub organ nadrzędny.</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vertAlign w:val="superscript"/>
          <w:lang w:val="pl-PL"/>
        </w:rPr>
        <w:t>6</w:t>
      </w:r>
      <w:r>
        <w:rPr>
          <w:rFonts w:ascii="Times New Roman"/>
          <w:b w:val="false"/>
          <w:i w:val="false"/>
          <w:color w:val="000000"/>
          <w:sz w:val="24"/>
          <w:lang w:val="pl-PL"/>
        </w:rPr>
        <w:t xml:space="preserve"> </w:t>
      </w:r>
      <w:r>
        <w:rPr>
          <w:rFonts w:ascii="Times New Roman"/>
          <w:b w:val="false"/>
          <w:i w:val="false"/>
          <w:color w:val="000000"/>
          <w:sz w:val="24"/>
          <w:lang w:val="pl-PL"/>
        </w:rPr>
        <w:t xml:space="preserve">  Organ kontroli zamieszcza w Biuletynie Informacji Publicznej na stronie podmiotowej urzędu obsługującego ten organ informację o zasadach umożliwiających przypisanie przedsiębiorców do właściwej dla nich kategorii ryzyka, na podstawie dotychczasowej okresowej analizy, o której mowa w </w:t>
      </w:r>
      <w:r>
        <w:rPr>
          <w:rFonts w:ascii="Times New Roman"/>
          <w:b w:val="false"/>
          <w:i w:val="false"/>
          <w:color w:val="1b1b1b"/>
          <w:sz w:val="24"/>
          <w:lang w:val="pl-PL"/>
        </w:rPr>
        <w:t>ust. 1</w:t>
      </w:r>
      <w:r>
        <w:rPr>
          <w:rFonts w:ascii="Times New Roman"/>
          <w:b w:val="false"/>
          <w:i w:val="false"/>
          <w:color w:val="000000"/>
          <w:sz w:val="24"/>
          <w:lang w:val="pl-PL"/>
        </w:rPr>
        <w:t>, w terminie 3 miesięcy od dnia przyjęcia kolejnej okresowej analizy, zastępującej dotychczasową okresową analizę, z wyjątkiem informacji niejawnych oraz innych informacji stanowiących tajemnicę prawnie chronioną. Zakres udostępnianych informacji podlega ograniczeniu również ze względu na prywatność osoby fizycznej oraz tajemnicę przedsiębiorcy.</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vertAlign w:val="superscript"/>
          <w:lang w:val="pl-PL"/>
        </w:rPr>
        <w:t>7</w:t>
      </w:r>
      <w:r>
        <w:rPr>
          <w:rFonts w:ascii="Times New Roman"/>
          <w:b w:val="false"/>
          <w:i w:val="false"/>
          <w:color w:val="000000"/>
          <w:sz w:val="24"/>
          <w:lang w:val="pl-PL"/>
        </w:rPr>
        <w:t xml:space="preserve"> </w:t>
      </w:r>
      <w:r>
        <w:rPr>
          <w:rFonts w:ascii="Times New Roman"/>
          <w:b w:val="false"/>
          <w:i w:val="false"/>
          <w:color w:val="000000"/>
          <w:sz w:val="24"/>
          <w:lang w:val="pl-PL"/>
        </w:rPr>
        <w:t xml:space="preserve">  Zakład Ubezpieczeń Społecznych realizuje obowiązek, o którym mowa w </w:t>
      </w:r>
      <w:r>
        <w:rPr>
          <w:rFonts w:ascii="Times New Roman"/>
          <w:b w:val="false"/>
          <w:i w:val="false"/>
          <w:color w:val="1b1b1b"/>
          <w:sz w:val="24"/>
          <w:lang w:val="pl-PL"/>
        </w:rPr>
        <w:t>ust. 1a</w:t>
      </w:r>
      <w:r>
        <w:rPr>
          <w:rFonts w:ascii="Times New Roman"/>
          <w:b w:val="false"/>
          <w:i w:val="false"/>
          <w:color w:val="000000"/>
          <w:sz w:val="24"/>
          <w:lang w:val="pl-PL"/>
        </w:rPr>
        <w:t xml:space="preserve">, w terminie 6 miesięcy od dnia przyjęcia kolejnej okresowej analizy, o której mowa w </w:t>
      </w:r>
      <w:r>
        <w:rPr>
          <w:rFonts w:ascii="Times New Roman"/>
          <w:b w:val="false"/>
          <w:i w:val="false"/>
          <w:color w:val="1b1b1b"/>
          <w:sz w:val="24"/>
          <w:lang w:val="pl-PL"/>
        </w:rPr>
        <w:t>ust. 1</w:t>
      </w:r>
      <w:r>
        <w:rPr>
          <w:rFonts w:ascii="Times New Roman"/>
          <w:b w:val="false"/>
          <w:i w:val="false"/>
          <w:color w:val="000000"/>
          <w:sz w:val="24"/>
          <w:lang w:val="pl-PL"/>
        </w:rPr>
        <w:t>, zastępującej dotychczasową okresową analizę.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vertAlign w:val="superscript"/>
          <w:lang w:val="pl-PL"/>
        </w:rPr>
        <w:t>8</w:t>
      </w:r>
      <w:r>
        <w:rPr>
          <w:rFonts w:ascii="Times New Roman"/>
          <w:b w:val="false"/>
          <w:i w:val="false"/>
          <w:color w:val="000000"/>
          <w:sz w:val="24"/>
          <w:lang w:val="pl-PL"/>
        </w:rPr>
        <w:t xml:space="preserve"> </w:t>
      </w:r>
      <w:r>
        <w:rPr>
          <w:rFonts w:ascii="Times New Roman"/>
          <w:b w:val="false"/>
          <w:i w:val="false"/>
          <w:color w:val="000000"/>
          <w:sz w:val="24"/>
          <w:lang w:val="pl-PL"/>
        </w:rPr>
        <w:t xml:space="preserve">  Przepisów </w:t>
      </w:r>
      <w:r>
        <w:rPr>
          <w:rFonts w:ascii="Times New Roman"/>
          <w:b w:val="false"/>
          <w:i w:val="false"/>
          <w:color w:val="1b1b1b"/>
          <w:sz w:val="24"/>
          <w:lang w:val="pl-PL"/>
        </w:rPr>
        <w:t>ust. 1</w:t>
      </w:r>
      <w:r>
        <w:rPr>
          <w:rFonts w:ascii="Times New Roman"/>
          <w:b w:val="false"/>
          <w:i w:val="false"/>
          <w:color w:val="000000"/>
          <w:sz w:val="24"/>
          <w:lang w:val="pl-PL"/>
        </w:rPr>
        <w:t xml:space="preserve"> i </w:t>
      </w:r>
      <w:r>
        <w:rPr>
          <w:rFonts w:ascii="Times New Roman"/>
          <w:b w:val="false"/>
          <w:i w:val="false"/>
          <w:color w:val="1b1b1b"/>
          <w:sz w:val="24"/>
          <w:lang w:val="pl-PL"/>
        </w:rPr>
        <w:t>1a</w:t>
      </w:r>
      <w:r>
        <w:rPr>
          <w:rFonts w:ascii="Times New Roman"/>
          <w:b w:val="false"/>
          <w:i w:val="false"/>
          <w:color w:val="000000"/>
          <w:sz w:val="24"/>
          <w:lang w:val="pl-PL"/>
        </w:rPr>
        <w:t xml:space="preserve"> nie stosuje się do kontroli: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 przypadku gdy organ kontroli poweźmie uzasadnione podejrzenie:</w:t>
      </w:r>
    </w:p>
    <w:p>
      <w:pPr>
        <w:spacing w:after="0"/>
        <w:ind w:left="746"/>
        <w:jc w:val="left"/>
        <w:textAlignment w:val="auto"/>
      </w:pPr>
      <w:r>
        <w:rPr>
          <w:rFonts w:ascii="Times New Roman"/>
          <w:b w:val="false"/>
          <w:i w:val="false"/>
          <w:color w:val="000000"/>
          <w:sz w:val="24"/>
          <w:lang w:val="pl-PL"/>
        </w:rPr>
        <w:t>a)</w:t>
      </w:r>
      <w:r>
        <w:rPr>
          <w:rFonts w:ascii="Times New Roman"/>
          <w:b w:val="false"/>
          <w:i w:val="false"/>
          <w:color w:val="000000"/>
          <w:sz w:val="24"/>
          <w:lang w:val="pl-PL"/>
        </w:rPr>
        <w:t xml:space="preserve"> zagrożenia życia lub zdrowia,</w:t>
      </w:r>
    </w:p>
    <w:p>
      <w:pPr>
        <w:spacing w:after="0"/>
        <w:ind w:left="746"/>
        <w:jc w:val="left"/>
        <w:textAlignment w:val="auto"/>
      </w:pPr>
      <w:r>
        <w:rPr>
          <w:rFonts w:ascii="Times New Roman"/>
          <w:b w:val="false"/>
          <w:i w:val="false"/>
          <w:color w:val="000000"/>
          <w:sz w:val="24"/>
          <w:lang w:val="pl-PL"/>
        </w:rPr>
        <w:t>b)</w:t>
      </w:r>
      <w:r>
        <w:rPr>
          <w:rFonts w:ascii="Times New Roman"/>
          <w:b w:val="false"/>
          <w:i w:val="false"/>
          <w:color w:val="000000"/>
          <w:sz w:val="24"/>
          <w:lang w:val="pl-PL"/>
        </w:rPr>
        <w:t xml:space="preserve"> popełnienia przestępstwa lub wykroczenia,</w:t>
      </w:r>
    </w:p>
    <w:p>
      <w:pPr>
        <w:spacing w:after="0"/>
        <w:ind w:left="746"/>
        <w:jc w:val="left"/>
        <w:textAlignment w:val="auto"/>
      </w:pPr>
      <w:r>
        <w:rPr>
          <w:rFonts w:ascii="Times New Roman"/>
          <w:b w:val="false"/>
          <w:i w:val="false"/>
          <w:color w:val="000000"/>
          <w:sz w:val="24"/>
          <w:lang w:val="pl-PL"/>
        </w:rPr>
        <w:t>c)</w:t>
      </w:r>
      <w:r>
        <w:rPr>
          <w:rFonts w:ascii="Times New Roman"/>
          <w:b w:val="false"/>
          <w:i w:val="false"/>
          <w:color w:val="000000"/>
          <w:sz w:val="24"/>
          <w:lang w:val="pl-PL"/>
        </w:rPr>
        <w:t xml:space="preserve"> popełnienia przestępstwa skarbowego lub wykroczenia skarbowego,</w:t>
      </w:r>
    </w:p>
    <w:p>
      <w:pPr>
        <w:spacing w:after="0"/>
        <w:ind w:left="746"/>
        <w:jc w:val="left"/>
        <w:textAlignment w:val="auto"/>
      </w:pPr>
      <w:r>
        <w:rPr>
          <w:rFonts w:ascii="Times New Roman"/>
          <w:b w:val="false"/>
          <w:i w:val="false"/>
          <w:color w:val="000000"/>
          <w:sz w:val="24"/>
          <w:lang w:val="pl-PL"/>
        </w:rPr>
        <w:t>d)</w:t>
      </w:r>
      <w:r>
        <w:rPr>
          <w:rFonts w:ascii="Times New Roman"/>
          <w:b w:val="false"/>
          <w:i w:val="false"/>
          <w:color w:val="000000"/>
          <w:sz w:val="24"/>
          <w:lang w:val="pl-PL"/>
        </w:rPr>
        <w:t xml:space="preserve"> innego naruszenia prawnego zakazu lub niedopełnienia prawnego obowiązku</w:t>
      </w:r>
    </w:p>
    <w:p>
      <w:pPr>
        <w:spacing w:before="25" w:after="0"/>
        <w:ind w:left="373"/>
        <w:jc w:val="left"/>
        <w:textAlignment w:val="auto"/>
      </w:pPr>
      <w:r>
        <w:rPr>
          <w:rFonts w:ascii="Times New Roman"/>
          <w:b w:val="false"/>
          <w:i w:val="false"/>
          <w:color w:val="000000"/>
          <w:sz w:val="24"/>
          <w:lang w:val="pl-PL"/>
        </w:rPr>
        <w:t>- w wyniku wykonywania działalności gospodarczej objętej kontrolą;</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działalności przedsiębiorców w zakresie objętym nadzorem, o którym mowa w </w:t>
      </w:r>
      <w:r>
        <w:rPr>
          <w:rFonts w:ascii="Times New Roman"/>
          <w:b w:val="false"/>
          <w:i w:val="false"/>
          <w:color w:val="1b1b1b"/>
          <w:sz w:val="24"/>
          <w:lang w:val="pl-PL"/>
        </w:rPr>
        <w:t>art. 1 ust. 2</w:t>
      </w:r>
      <w:r>
        <w:rPr>
          <w:rFonts w:ascii="Times New Roman"/>
          <w:b w:val="false"/>
          <w:i w:val="false"/>
          <w:color w:val="000000"/>
          <w:sz w:val="24"/>
          <w:lang w:val="pl-PL"/>
        </w:rPr>
        <w:t xml:space="preserve"> ustawy z dnia 21 lipca 2006 r. o nadzorze nad rynkiem finansowym (Dz. U. z 2025 r. poz. 640 i 1069);</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 przypadku gdy jest ona niezbędna do przeprowadzenia postępowania w celu sprawdzenia wykonania zaleceń pokontrolnych organu, wykonania decyzji albo postanowień nakazujących usunięcie naruszeń prawa, w związku z przeprowadzoną kontrolą, albo do sprawdzenia wykonania wezwania, o którym mowa w </w:t>
      </w:r>
      <w:r>
        <w:rPr>
          <w:rFonts w:ascii="Times New Roman"/>
          <w:b w:val="false"/>
          <w:i w:val="false"/>
          <w:color w:val="1b1b1b"/>
          <w:sz w:val="24"/>
          <w:lang w:val="pl-PL"/>
        </w:rPr>
        <w:t>art. 21a ust. 1</w:t>
      </w:r>
      <w:r>
        <w:rPr>
          <w:rFonts w:ascii="Times New Roman"/>
          <w:b w:val="false"/>
          <w:i w:val="false"/>
          <w:color w:val="000000"/>
          <w:sz w:val="24"/>
          <w:lang w:val="pl-PL"/>
        </w:rPr>
        <w:t xml:space="preserve">, zobowiązania, o którym mowa w </w:t>
      </w:r>
      <w:r>
        <w:rPr>
          <w:rFonts w:ascii="Times New Roman"/>
          <w:b w:val="false"/>
          <w:i w:val="false"/>
          <w:color w:val="1b1b1b"/>
          <w:sz w:val="24"/>
          <w:lang w:val="pl-PL"/>
        </w:rPr>
        <w:t>art. 21a ust. 2</w:t>
      </w:r>
      <w:r>
        <w:rPr>
          <w:rFonts w:ascii="Times New Roman"/>
          <w:b w:val="false"/>
          <w:i w:val="false"/>
          <w:color w:val="000000"/>
          <w:sz w:val="24"/>
          <w:lang w:val="pl-PL"/>
        </w:rPr>
        <w:t xml:space="preserve">, lub weryfikacji powiadomienia, o którym mowa w </w:t>
      </w:r>
      <w:r>
        <w:rPr>
          <w:rFonts w:ascii="Times New Roman"/>
          <w:b w:val="false"/>
          <w:i w:val="false"/>
          <w:color w:val="1b1b1b"/>
          <w:sz w:val="24"/>
          <w:lang w:val="pl-PL"/>
        </w:rPr>
        <w:t>art. 21a ust. 5</w:t>
      </w:r>
      <w:r>
        <w:rPr>
          <w:rFonts w:ascii="Times New Roman"/>
          <w:b w:val="false"/>
          <w:i w:val="false"/>
          <w:color w:val="000000"/>
          <w:sz w:val="24"/>
          <w:lang w:val="pl-PL"/>
        </w:rPr>
        <w:t xml:space="preserve"> lub </w:t>
      </w:r>
      <w:r>
        <w:rPr>
          <w:rFonts w:ascii="Times New Roman"/>
          <w:b w:val="false"/>
          <w:i w:val="false"/>
          <w:color w:val="1b1b1b"/>
          <w:sz w:val="24"/>
          <w:lang w:val="pl-PL"/>
        </w:rPr>
        <w:t>6</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vertAlign w:val="superscript"/>
          <w:lang w:val="pl-PL"/>
        </w:rPr>
        <w:t>9</w:t>
      </w:r>
      <w:r>
        <w:rPr>
          <w:rFonts w:ascii="Times New Roman"/>
          <w:b w:val="false"/>
          <w:i w:val="false"/>
          <w:color w:val="000000"/>
          <w:sz w:val="24"/>
          <w:lang w:val="pl-PL"/>
        </w:rPr>
        <w:t xml:space="preserve"> </w:t>
      </w:r>
      <w:r>
        <w:rPr>
          <w:rFonts w:ascii="Times New Roman"/>
          <w:b w:val="false"/>
          <w:i w:val="false"/>
          <w:color w:val="000000"/>
          <w:sz w:val="24"/>
          <w:lang w:val="pl-PL"/>
        </w:rPr>
        <w:t xml:space="preserve">  Przepisu </w:t>
      </w:r>
      <w:r>
        <w:rPr>
          <w:rFonts w:ascii="Times New Roman"/>
          <w:b w:val="false"/>
          <w:i w:val="false"/>
          <w:color w:val="1b1b1b"/>
          <w:sz w:val="24"/>
          <w:lang w:val="pl-PL"/>
        </w:rPr>
        <w:t>ust. 1a</w:t>
      </w:r>
      <w:r>
        <w:rPr>
          <w:rFonts w:ascii="Times New Roman"/>
          <w:b w:val="false"/>
          <w:i w:val="false"/>
          <w:color w:val="000000"/>
          <w:sz w:val="24"/>
          <w:lang w:val="pl-PL"/>
        </w:rPr>
        <w:t xml:space="preserve"> nie stosuje się do:</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kontroli działalności gospodarczej podlegającej koncesjonowaniu;</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kontroli i analiz będących we właściwości organów Krajowej Administracji Skarbowej;</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kontroli działalności gospodarczej w obszarach, w których udostępnienie informacji, o której mowa w </w:t>
      </w:r>
      <w:r>
        <w:rPr>
          <w:rFonts w:ascii="Times New Roman"/>
          <w:b w:val="false"/>
          <w:i w:val="false"/>
          <w:color w:val="1b1b1b"/>
          <w:sz w:val="24"/>
          <w:lang w:val="pl-PL"/>
        </w:rPr>
        <w:t>ust. 1a</w:t>
      </w:r>
      <w:r>
        <w:rPr>
          <w:rFonts w:ascii="Times New Roman"/>
          <w:b w:val="false"/>
          <w:i w:val="false"/>
          <w:color w:val="000000"/>
          <w:sz w:val="24"/>
          <w:lang w:val="pl-PL"/>
        </w:rPr>
        <w:t>, mogłoby stwarzać zagrożenie dla bezpieczeństwa, porządku publicznego, życia lub zdrowia ludzkiego, w tym w obszarach związanych z zapewnieniem prawidłowego funkcjonowania infrastruktury krytycznej lub realizacją przez przedsiębiorców zadań na rzecz państwowych służb odpowiedzialnych za bezpieczeństwo i porządek publiczny;</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kontroli prowadzonej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6 września 2001 r. o transporcie drogowym (Dz. U. z 2024 r. poz. 1539, 1544 i 1855).</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Organ kontroli zamieszcza w Biuletynie Informacji Publicznej na stronie podmiotowej urzędu obsługującego organ ogólny schemat tych procedur kontroli, które wynikają z przepisów powszechnie obowiązującego prawa.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w:t>
      </w:r>
      <w:r>
        <w:rPr>
          <w:rFonts w:ascii="Times New Roman"/>
          <w:b/>
          <w:i w:val="false"/>
          <w:color w:val="000000"/>
          <w:sz w:val="24"/>
          <w:lang w:val="pl-PL"/>
        </w:rPr>
        <w:t xml:space="preserve"> [Zawiadomienie o zamiarze wszczęcia kontroli; uprzednie czynności kontrolne]</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Organ kontroli zawiadamia przedsiębiorcę o zamiarze wszczęcia kontroli.</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Kontrolę wszczyna się nie wcześniej niż po upływie 7 dni i nie później niż przed upływem 30 dni od dnia doręczenia zawiadomienia o zamiarze wszczęcia kontroli. Jeżeli kontrola nie zostanie wszczęta w terminie 30 dni od dnia doręczenia zawiadomienia, wszczęcie kontroli wymaga ponownego zawiadomienia.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Zawiadomienie o zamiarze wszczęcia kontroli zawiera:</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oznaczenie organu;</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datę i miejsce wystawienia;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oznaczenie przedsiębiorcy;</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wskazanie zakresu przedmiotowego kontroli;</w:t>
      </w:r>
    </w:p>
    <w:p>
      <w:pPr>
        <w:spacing w:before="26" w:after="0"/>
        <w:ind w:left="373"/>
        <w:jc w:val="left"/>
        <w:textAlignment w:val="auto"/>
      </w:pPr>
      <w:r>
        <w:rPr>
          <w:rFonts w:ascii="Times New Roman"/>
          <w:b w:val="false"/>
          <w:i w:val="false"/>
          <w:color w:val="000000"/>
          <w:sz w:val="24"/>
          <w:lang w:val="pl-PL"/>
        </w:rPr>
        <w:t>4a)</w:t>
      </w:r>
      <w:r>
        <w:rPr>
          <w:rFonts w:ascii="Times New Roman"/>
          <w:b w:val="false"/>
          <w:i w:val="false"/>
          <w:color w:val="000000"/>
          <w:sz w:val="24"/>
          <w:lang w:val="pl-PL"/>
        </w:rPr>
        <w:t xml:space="preserve"> wstępną listę dokumentów i informacji związanych z zakresem przedmiotowym kontroli, których udostępnienia oczekuje organ kontroli w trakcie kontroli;</w:t>
      </w:r>
    </w:p>
    <w:p>
      <w:pPr>
        <w:spacing w:before="26" w:after="0"/>
        <w:ind w:left="373"/>
        <w:jc w:val="left"/>
        <w:textAlignment w:val="auto"/>
      </w:pPr>
      <w:r>
        <w:rPr>
          <w:rFonts w:ascii="Times New Roman"/>
          <w:b w:val="false"/>
          <w:i w:val="false"/>
          <w:color w:val="000000"/>
          <w:sz w:val="24"/>
          <w:lang w:val="pl-PL"/>
        </w:rPr>
        <w:t>4b)</w:t>
      </w:r>
      <w:r>
        <w:rPr>
          <w:rFonts w:ascii="Times New Roman"/>
          <w:b w:val="false"/>
          <w:i w:val="false"/>
          <w:color w:val="000000"/>
          <w:sz w:val="24"/>
          <w:lang w:val="pl-PL"/>
        </w:rPr>
        <w:t xml:space="preserve"> w przypadku kontroli planowej - informację o kategorii ryzyka, o której mowa w </w:t>
      </w:r>
      <w:r>
        <w:rPr>
          <w:rFonts w:ascii="Times New Roman"/>
          <w:b w:val="false"/>
          <w:i w:val="false"/>
          <w:color w:val="1b1b1b"/>
          <w:sz w:val="24"/>
          <w:lang w:val="pl-PL"/>
        </w:rPr>
        <w:t>art. 47 ust. 1</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imię, nazwisko oraz podpis osoby upoważnionej do zawiadomienia z podaniem zajmowanego stanowiska lub funkcji.</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Na wniosek przedsiębiorcy kontrola może być wszczęta przed upływem 7 dni od dnia doręczenia zawiadomienia.</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Czynności kontrolne związane z pobieraniem próbek i dokonywaniem oględzin, w tym pojazdów, lub dokonywaniem pomiarów mogą być wykonywane przed upływem terminu 7 dni, o którym mowa w </w:t>
      </w:r>
      <w:r>
        <w:rPr>
          <w:rFonts w:ascii="Times New Roman"/>
          <w:b w:val="false"/>
          <w:i w:val="false"/>
          <w:color w:val="1b1b1b"/>
          <w:sz w:val="24"/>
          <w:lang w:val="pl-PL"/>
        </w:rPr>
        <w:t>ust. 2</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Czynności wykonywane w trybie, o którym mowa w </w:t>
      </w:r>
      <w:r>
        <w:rPr>
          <w:rFonts w:ascii="Times New Roman"/>
          <w:b w:val="false"/>
          <w:i w:val="false"/>
          <w:color w:val="1b1b1b"/>
          <w:sz w:val="24"/>
          <w:lang w:val="pl-PL"/>
        </w:rPr>
        <w:t>ust. 5</w:t>
      </w:r>
      <w:r>
        <w:rPr>
          <w:rFonts w:ascii="Times New Roman"/>
          <w:b w:val="false"/>
          <w:i w:val="false"/>
          <w:color w:val="000000"/>
          <w:sz w:val="24"/>
          <w:lang w:val="pl-PL"/>
        </w:rPr>
        <w:t>, związane z pobieraniem próbek i dokonywaniem oględzin nie mogą przekraczać jednego dnia roboczego, natomiast czynności związane z dokonywaniem pomiarów nie mogą przekraczać kolejnych 24 godzin liczonych od chwili rozpoczęcia tych czynności.</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Oględziny dokonywane w trybie, o którym mowa w </w:t>
      </w:r>
      <w:r>
        <w:rPr>
          <w:rFonts w:ascii="Times New Roman"/>
          <w:b w:val="false"/>
          <w:i w:val="false"/>
          <w:color w:val="1b1b1b"/>
          <w:sz w:val="24"/>
          <w:lang w:val="pl-PL"/>
        </w:rPr>
        <w:t>ust. 5</w:t>
      </w:r>
      <w:r>
        <w:rPr>
          <w:rFonts w:ascii="Times New Roman"/>
          <w:b w:val="false"/>
          <w:i w:val="false"/>
          <w:color w:val="000000"/>
          <w:sz w:val="24"/>
          <w:lang w:val="pl-PL"/>
        </w:rPr>
        <w:t>, nie mogą dotyczyć treści dokumentów.</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Z czynności kontrolnych wykonywanych w trybie, o którym mowa w </w:t>
      </w:r>
      <w:r>
        <w:rPr>
          <w:rFonts w:ascii="Times New Roman"/>
          <w:b w:val="false"/>
          <w:i w:val="false"/>
          <w:color w:val="1b1b1b"/>
          <w:sz w:val="24"/>
          <w:lang w:val="pl-PL"/>
        </w:rPr>
        <w:t>ust. 5</w:t>
      </w:r>
      <w:r>
        <w:rPr>
          <w:rFonts w:ascii="Times New Roman"/>
          <w:b w:val="false"/>
          <w:i w:val="false"/>
          <w:color w:val="000000"/>
          <w:sz w:val="24"/>
          <w:lang w:val="pl-PL"/>
        </w:rPr>
        <w:t>, sporządza się protokół.</w:t>
      </w:r>
    </w:p>
    <w:p>
      <w:pPr>
        <w:spacing w:before="26" w:after="0"/>
        <w:ind w:left="0"/>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W przypadku podejmowania czynności kontrolnych, o których mowa w </w:t>
      </w:r>
      <w:r>
        <w:rPr>
          <w:rFonts w:ascii="Times New Roman"/>
          <w:b w:val="false"/>
          <w:i w:val="false"/>
          <w:color w:val="1b1b1b"/>
          <w:sz w:val="24"/>
          <w:lang w:val="pl-PL"/>
        </w:rPr>
        <w:t>ust. 5</w:t>
      </w:r>
      <w:r>
        <w:rPr>
          <w:rFonts w:ascii="Times New Roman"/>
          <w:b w:val="false"/>
          <w:i w:val="false"/>
          <w:color w:val="000000"/>
          <w:sz w:val="24"/>
          <w:lang w:val="pl-PL"/>
        </w:rPr>
        <w:t xml:space="preserve">, zawiadomienie o zamiarze wszczęcia kontroli może być doręczone przedsiębiorcy albo osobie przez niego upoważnionej, a w razie nieobecności przedsiębiorcy lub osoby przez niego upoważnionej, zawiadomienie może być doręczone zarządzającemu w imieniu przedsiębiorcy zakładem lub inną wyodrębnioną częścią przedsiębiorstwa lub kierownikowi wyodrębnionej komórki organizacyjnej przedsiębiorstwa. Przepisy </w:t>
      </w:r>
      <w:r>
        <w:rPr>
          <w:rFonts w:ascii="Times New Roman"/>
          <w:b w:val="false"/>
          <w:i w:val="false"/>
          <w:color w:val="1b1b1b"/>
          <w:sz w:val="24"/>
          <w:lang w:val="pl-PL"/>
        </w:rPr>
        <w:t>art. 49 ust. 1</w:t>
      </w:r>
      <w:r>
        <w:rPr>
          <w:rFonts w:ascii="Times New Roman"/>
          <w:b w:val="false"/>
          <w:i w:val="false"/>
          <w:color w:val="000000"/>
          <w:sz w:val="24"/>
          <w:lang w:val="pl-PL"/>
        </w:rPr>
        <w:t xml:space="preserve"> i </w:t>
      </w:r>
      <w:r>
        <w:rPr>
          <w:rFonts w:ascii="Times New Roman"/>
          <w:b w:val="false"/>
          <w:i w:val="false"/>
          <w:color w:val="1b1b1b"/>
          <w:sz w:val="24"/>
          <w:lang w:val="pl-PL"/>
        </w:rPr>
        <w:t>10</w:t>
      </w:r>
      <w:r>
        <w:rPr>
          <w:rFonts w:ascii="Times New Roman"/>
          <w:b w:val="false"/>
          <w:i w:val="false"/>
          <w:color w:val="000000"/>
          <w:sz w:val="24"/>
          <w:lang w:val="pl-PL"/>
        </w:rPr>
        <w:t xml:space="preserve"> stosuje się odpowiednio.</w:t>
      </w:r>
    </w:p>
    <w:p>
      <w:pPr>
        <w:spacing w:before="26" w:after="0"/>
        <w:ind w:left="0"/>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Uzasadnienie przyczyny braku zawiadomienia o zamiarze wszczęcia kontroli umieszcza się w protokole kontroli.</w:t>
      </w:r>
    </w:p>
    <w:p>
      <w:pPr>
        <w:spacing w:before="26" w:after="0"/>
        <w:ind w:left="0"/>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Zawiadomienia o zamiarze wszczęcia kontroli nie dokonuje się, w przypadku gdy:</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kontrola ma zostać przeprowadzona na podstawie ratyfikowanej umowy międzynarodowej albo bezpośrednio stosowanych przepisów prawa Unii Europejskiej;</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przeprowadzenie kontroli jest niezbędne dla przeciwdziałania popełnieniu przestępstwa lub wykroczenia, przeciwdziałania popełnieniu przestępstwa skarbowego lub wykroczenia skarbowego lub zabezpieczenia dowodów jego popełnienia;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kontrola jest przeprowadzana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25 sierpnia 2006 r. o systemie monitorowania i kontrolowania jakości paliw (Dz. U. z 2024 r. poz. 1209, 1940 i 1946 oraz z 2025 r. poz. 303);</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przeprowadzenie kontroli jest uzasadnione bezpośrednim zagrożeniem życia, zdrowia lub środowiska;</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kontrola jest prowadzona w toku postępowania prowadzonego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16 lutego 2007 r. o ochronie konkurencji i konsumentów (Dz. U. z 2024 r. poz. 1616 oraz z 2025 r. poz. 794);</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przeprowadzenie kontroli jest niezbędne dla przeciwdziałania naruszeniu zakazów, o których mowa w </w:t>
      </w:r>
      <w:r>
        <w:rPr>
          <w:rFonts w:ascii="Times New Roman"/>
          <w:b w:val="false"/>
          <w:i w:val="false"/>
          <w:color w:val="1b1b1b"/>
          <w:sz w:val="24"/>
          <w:lang w:val="pl-PL"/>
        </w:rPr>
        <w:t>art. 44b ust. 1</w:t>
      </w:r>
      <w:r>
        <w:rPr>
          <w:rFonts w:ascii="Times New Roman"/>
          <w:b w:val="false"/>
          <w:i w:val="false"/>
          <w:color w:val="000000"/>
          <w:sz w:val="24"/>
          <w:lang w:val="pl-PL"/>
        </w:rPr>
        <w:t xml:space="preserve"> ustawy z dnia 29 lipca 2005 r. o przeciwdziałaniu narkomanii (Dz. U. z 2023 r. poz. 1939);</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kontrola jest prowadzona na podstawie </w:t>
      </w:r>
      <w:r>
        <w:rPr>
          <w:rFonts w:ascii="Times New Roman"/>
          <w:b w:val="false"/>
          <w:i w:val="false"/>
          <w:color w:val="1b1b1b"/>
          <w:sz w:val="24"/>
          <w:lang w:val="pl-PL"/>
        </w:rPr>
        <w:t>art. 23b</w:t>
      </w:r>
      <w:r>
        <w:rPr>
          <w:rFonts w:ascii="Times New Roman"/>
          <w:b w:val="false"/>
          <w:i w:val="false"/>
          <w:color w:val="000000"/>
          <w:sz w:val="24"/>
          <w:lang w:val="pl-PL"/>
        </w:rPr>
        <w:t xml:space="preserve"> lub </w:t>
      </w:r>
      <w:r>
        <w:rPr>
          <w:rFonts w:ascii="Times New Roman"/>
          <w:b w:val="false"/>
          <w:i w:val="false"/>
          <w:color w:val="1b1b1b"/>
          <w:sz w:val="24"/>
          <w:lang w:val="pl-PL"/>
        </w:rPr>
        <w:t>art. 23r ust. 1</w:t>
      </w:r>
      <w:r>
        <w:rPr>
          <w:rFonts w:ascii="Times New Roman"/>
          <w:b w:val="false"/>
          <w:i w:val="false"/>
          <w:color w:val="000000"/>
          <w:sz w:val="24"/>
          <w:lang w:val="pl-PL"/>
        </w:rPr>
        <w:t xml:space="preserve"> ustawy z dnia 10 kwietnia 1997 r. - Prawo energetyczne (Dz. U. z 2024 r. poz. 266, z późn. zm.);</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kontrola jest przeprowadzana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20 lipca 1991 r. o Inspekcji Ochrony Środowiska (Dz. U. z 2024 r. poz. 425) w zakresie poziomów pól elektromagnetycznych emitowanych z instalacji radiokomunikacyjnej, radionawigacyjnej lub radiolokacyjnej;</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przedsiębiorca nie ma adresu zamieszkania lub adresu siedziby lub doręczanie pism na podane adresy było bezskuteczne lub utrudnione;</w:t>
      </w:r>
    </w:p>
    <w:p>
      <w:pPr>
        <w:spacing w:before="26" w:after="0"/>
        <w:ind w:left="373"/>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kontrola dotyczy przypadków określonych w </w:t>
      </w:r>
      <w:r>
        <w:rPr>
          <w:rFonts w:ascii="Times New Roman"/>
          <w:b w:val="false"/>
          <w:i w:val="false"/>
          <w:color w:val="1b1b1b"/>
          <w:sz w:val="24"/>
          <w:lang w:val="pl-PL"/>
        </w:rPr>
        <w:t>art. 282c</w:t>
      </w:r>
      <w:r>
        <w:rPr>
          <w:rFonts w:ascii="Times New Roman"/>
          <w:b w:val="false"/>
          <w:i w:val="false"/>
          <w:color w:val="000000"/>
          <w:sz w:val="24"/>
          <w:lang w:val="pl-PL"/>
        </w:rPr>
        <w:t xml:space="preserve"> ustawy z dnia 29 sierpnia 1997 r. - Ordynacja podatkowa;</w:t>
      </w:r>
    </w:p>
    <w:p>
      <w:pPr>
        <w:spacing w:before="26" w:after="0"/>
        <w:ind w:left="373"/>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xml:space="preserve"> kontrola jest przeprowadzana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25 sierpnia 2006 r. o biokomponentach i biopaliwach ciekłych (Dz. U. z 2025 r. poz. 901);</w:t>
      </w:r>
    </w:p>
    <w:p>
      <w:pPr>
        <w:spacing w:before="26" w:after="0"/>
        <w:ind w:left="373"/>
        <w:jc w:val="left"/>
        <w:textAlignment w:val="auto"/>
      </w:pPr>
      <w:r>
        <w:rPr>
          <w:rFonts w:ascii="Times New Roman"/>
          <w:b w:val="false"/>
          <w:i w:val="false"/>
          <w:color w:val="000000"/>
          <w:sz w:val="24"/>
          <w:lang w:val="pl-PL"/>
        </w:rPr>
        <w:t>12)</w:t>
      </w:r>
      <w:r>
        <w:rPr>
          <w:rFonts w:ascii="Times New Roman"/>
          <w:b w:val="false"/>
          <w:i w:val="false"/>
          <w:color w:val="000000"/>
          <w:sz w:val="24"/>
          <w:lang w:val="pl-PL"/>
        </w:rPr>
        <w:t xml:space="preserve"> kontrola jest przeprowadzana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13 lutego 2020 r. o ochronie roślin przed agrofagami (Dz. U. z 2023 r. poz. 301);</w:t>
      </w:r>
    </w:p>
    <w:p>
      <w:pPr>
        <w:spacing w:before="26" w:after="0"/>
        <w:ind w:left="373"/>
        <w:jc w:val="left"/>
        <w:textAlignment w:val="auto"/>
      </w:pPr>
      <w:r>
        <w:rPr>
          <w:rFonts w:ascii="Times New Roman"/>
          <w:b w:val="false"/>
          <w:i w:val="false"/>
          <w:color w:val="000000"/>
          <w:sz w:val="24"/>
          <w:lang w:val="pl-PL"/>
        </w:rPr>
        <w:t>13)</w:t>
      </w:r>
      <w:r>
        <w:rPr>
          <w:rFonts w:ascii="Times New Roman"/>
          <w:b w:val="false"/>
          <w:i w:val="false"/>
          <w:color w:val="000000"/>
          <w:sz w:val="24"/>
          <w:lang w:val="pl-PL"/>
        </w:rPr>
        <w:t xml:space="preserve"> kontrola jest przeprowadzana wyłącznie w celu sprawdzenia wykonania wezwania, o którym mowa w </w:t>
      </w:r>
      <w:r>
        <w:rPr>
          <w:rFonts w:ascii="Times New Roman"/>
          <w:b w:val="false"/>
          <w:i w:val="false"/>
          <w:color w:val="1b1b1b"/>
          <w:sz w:val="24"/>
          <w:lang w:val="pl-PL"/>
        </w:rPr>
        <w:t>art. 21a ust. 1</w:t>
      </w:r>
      <w:r>
        <w:rPr>
          <w:rFonts w:ascii="Times New Roman"/>
          <w:b w:val="false"/>
          <w:i w:val="false"/>
          <w:color w:val="000000"/>
          <w:sz w:val="24"/>
          <w:lang w:val="pl-PL"/>
        </w:rPr>
        <w:t xml:space="preserve">, zobowiązania, o którym mowa w </w:t>
      </w:r>
      <w:r>
        <w:rPr>
          <w:rFonts w:ascii="Times New Roman"/>
          <w:b w:val="false"/>
          <w:i w:val="false"/>
          <w:color w:val="1b1b1b"/>
          <w:sz w:val="24"/>
          <w:lang w:val="pl-PL"/>
        </w:rPr>
        <w:t>art. 21a ust. 2</w:t>
      </w:r>
      <w:r>
        <w:rPr>
          <w:rFonts w:ascii="Times New Roman"/>
          <w:b w:val="false"/>
          <w:i w:val="false"/>
          <w:color w:val="000000"/>
          <w:sz w:val="24"/>
          <w:lang w:val="pl-PL"/>
        </w:rPr>
        <w:t xml:space="preserve">, lub weryfikacji powiadomienia, o którym mowa w </w:t>
      </w:r>
      <w:r>
        <w:rPr>
          <w:rFonts w:ascii="Times New Roman"/>
          <w:b w:val="false"/>
          <w:i w:val="false"/>
          <w:color w:val="1b1b1b"/>
          <w:sz w:val="24"/>
          <w:lang w:val="pl-PL"/>
        </w:rPr>
        <w:t>art. 21a ust. 5</w:t>
      </w:r>
      <w:r>
        <w:rPr>
          <w:rFonts w:ascii="Times New Roman"/>
          <w:b w:val="false"/>
          <w:i w:val="false"/>
          <w:color w:val="000000"/>
          <w:sz w:val="24"/>
          <w:lang w:val="pl-PL"/>
        </w:rPr>
        <w:t xml:space="preserve"> lub </w:t>
      </w:r>
      <w:r>
        <w:rPr>
          <w:rFonts w:ascii="Times New Roman"/>
          <w:b w:val="false"/>
          <w:i w:val="false"/>
          <w:color w:val="1b1b1b"/>
          <w:sz w:val="24"/>
          <w:lang w:val="pl-PL"/>
        </w:rPr>
        <w:t>6</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14)</w:t>
      </w:r>
      <w:r>
        <w:rPr>
          <w:rFonts w:ascii="Times New Roman"/>
          <w:b w:val="false"/>
          <w:i w:val="false"/>
          <w:color w:val="000000"/>
          <w:sz w:val="24"/>
          <w:lang w:val="pl-PL"/>
        </w:rPr>
        <w:t xml:space="preserve"> kontrola jest prowadzona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12 lipca 2024 r. - Prawo komunikacji elektronicznej (Dz. U. poz. 1221 oraz z 2025 r. poz. 637 i 820) w zakresie wykorzystania częstotliwości radiowych;</w:t>
      </w:r>
    </w:p>
    <w:p>
      <w:pPr>
        <w:spacing w:before="26" w:after="0"/>
        <w:ind w:left="373"/>
        <w:jc w:val="left"/>
        <w:textAlignment w:val="auto"/>
      </w:pPr>
      <w:r>
        <w:rPr>
          <w:rFonts w:ascii="Times New Roman"/>
          <w:b w:val="false"/>
          <w:i w:val="false"/>
          <w:color w:val="000000"/>
          <w:sz w:val="24"/>
          <w:lang w:val="pl-PL"/>
        </w:rPr>
        <w:t>15)</w:t>
      </w:r>
      <w:r>
        <w:rPr>
          <w:rFonts w:ascii="Times New Roman"/>
          <w:b w:val="false"/>
          <w:i w:val="false"/>
          <w:color w:val="000000"/>
          <w:sz w:val="24"/>
          <w:lang w:val="pl-PL"/>
        </w:rPr>
        <w:t xml:space="preserve"> kontrola jest przeprowadzana na podstawie przepisów </w:t>
      </w:r>
      <w:r>
        <w:rPr>
          <w:rFonts w:ascii="Times New Roman"/>
          <w:b w:val="false"/>
          <w:i w:val="false"/>
          <w:color w:val="1b1b1b"/>
          <w:sz w:val="24"/>
          <w:lang w:val="pl-PL"/>
        </w:rPr>
        <w:t>art. 1 ust. 2 pkt 13a</w:t>
      </w:r>
      <w:r>
        <w:rPr>
          <w:rFonts w:ascii="Times New Roman"/>
          <w:b w:val="false"/>
          <w:i w:val="false"/>
          <w:color w:val="000000"/>
          <w:sz w:val="24"/>
          <w:lang w:val="pl-PL"/>
        </w:rPr>
        <w:t xml:space="preserve"> ustawy z dnia 12 października 1990 r. o Straży Granicznej (Dz. U. z 2025 r. poz. 914);</w:t>
      </w:r>
    </w:p>
    <w:p>
      <w:pPr>
        <w:spacing w:before="26" w:after="0"/>
        <w:ind w:left="373"/>
        <w:jc w:val="left"/>
        <w:textAlignment w:val="auto"/>
      </w:pPr>
      <w:r>
        <w:rPr>
          <w:rFonts w:ascii="Times New Roman"/>
          <w:b w:val="false"/>
          <w:i w:val="false"/>
          <w:color w:val="000000"/>
          <w:sz w:val="24"/>
          <w:lang w:val="pl-PL"/>
        </w:rPr>
        <w:t>16)</w:t>
      </w:r>
      <w:r>
        <w:rPr>
          <w:rFonts w:ascii="Times New Roman"/>
          <w:b w:val="false"/>
          <w:i w:val="false"/>
          <w:color w:val="000000"/>
          <w:sz w:val="24"/>
          <w:lang w:val="pl-PL"/>
        </w:rPr>
        <w:t xml:space="preserve"> kontrola jest przeprowadzana na podstawie przepisów </w:t>
      </w:r>
      <w:r>
        <w:rPr>
          <w:rFonts w:ascii="Times New Roman"/>
          <w:b w:val="false"/>
          <w:i w:val="false"/>
          <w:color w:val="1b1b1b"/>
          <w:sz w:val="24"/>
          <w:lang w:val="pl-PL"/>
        </w:rPr>
        <w:t>art. 10 ust. 1 pkt 4</w:t>
      </w:r>
      <w:r>
        <w:rPr>
          <w:rFonts w:ascii="Times New Roman"/>
          <w:b w:val="false"/>
          <w:i w:val="false"/>
          <w:color w:val="000000"/>
          <w:sz w:val="24"/>
          <w:lang w:val="pl-PL"/>
        </w:rPr>
        <w:t xml:space="preserve"> ustawy z dnia 13 kwietnia 2007 r. o Państwowej Inspekcji Pracy (Dz. U. z 2024 r. poz. 1712 oraz z 2025 r. poz. 321, 368, 620 i 769).</w:t>
      </w:r>
    </w:p>
    <w:p>
      <w:pPr>
        <w:spacing w:before="26" w:after="0"/>
        <w:ind w:left="0"/>
        <w:jc w:val="left"/>
        <w:textAlignment w:val="auto"/>
      </w:pPr>
      <w:r>
        <w:rPr>
          <w:rFonts w:ascii="Times New Roman"/>
          <w:b w:val="false"/>
          <w:i w:val="false"/>
          <w:color w:val="000000"/>
          <w:sz w:val="24"/>
          <w:lang w:val="pl-PL"/>
        </w:rPr>
        <w:t>12.</w:t>
      </w:r>
      <w:r>
        <w:rPr>
          <w:rFonts w:ascii="Times New Roman"/>
          <w:b w:val="false"/>
          <w:i w:val="false"/>
          <w:color w:val="000000"/>
          <w:sz w:val="24"/>
          <w:lang w:val="pl-PL"/>
        </w:rPr>
        <w:t xml:space="preserve"> W trakcie prowadzonej kontroli organ kontroli może żądać udostępnienia dokumentów i informacji związanych z zakresem przedmiotowym kontroli innych niż te, o których mowa w </w:t>
      </w:r>
      <w:r>
        <w:rPr>
          <w:rFonts w:ascii="Times New Roman"/>
          <w:b w:val="false"/>
          <w:i w:val="false"/>
          <w:color w:val="1b1b1b"/>
          <w:sz w:val="24"/>
          <w:lang w:val="pl-PL"/>
        </w:rPr>
        <w:t>ust. 3 pkt 4a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w:t>
      </w:r>
      <w:r>
        <w:rPr>
          <w:rFonts w:ascii="Times New Roman"/>
          <w:b/>
          <w:i w:val="false"/>
          <w:color w:val="000000"/>
          <w:sz w:val="24"/>
          <w:lang w:val="pl-PL"/>
        </w:rPr>
        <w:t xml:space="preserve"> [Upoważnienie do przeprowadzenia kontroli]</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Czynności kontrolne mogą być wykonywane przez pracowników organu kontroli po okazaniu przedsiębiorcy albo osobie przez niego upoważnionej legitymacji służbowej upoważniającej do wykonywania takich czynności oraz po doręczeniu upoważnienia do przeprowadzenia kontroli, chyba że odrębne </w:t>
      </w:r>
      <w:r>
        <w:rPr>
          <w:rFonts w:ascii="Times New Roman"/>
          <w:b w:val="false"/>
          <w:i w:val="false"/>
          <w:color w:val="1b1b1b"/>
          <w:sz w:val="24"/>
          <w:lang w:val="pl-PL"/>
        </w:rPr>
        <w:t>przepisy</w:t>
      </w:r>
      <w:r>
        <w:rPr>
          <w:rFonts w:ascii="Times New Roman"/>
          <w:b w:val="false"/>
          <w:i w:val="false"/>
          <w:color w:val="000000"/>
          <w:sz w:val="24"/>
          <w:lang w:val="pl-PL"/>
        </w:rPr>
        <w:t xml:space="preserve"> przewidują możliwość podjęcia kontroli po okazaniu legitymacji. W takim przypadku upoważnienie doręcza się przedsiębiorcy albo osobie przez niego upoważnionej w terminie określonym w tych przepisach, lecz nie później niż w terminie 3 dni roboczych od dnia wszczęcia kontroli.</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Podjęcie czynności kontrolnych po okazaniu legitymacji służbowej, na podstawie odrębnych </w:t>
      </w:r>
      <w:r>
        <w:rPr>
          <w:rFonts w:ascii="Times New Roman"/>
          <w:b w:val="false"/>
          <w:i w:val="false"/>
          <w:color w:val="1b1b1b"/>
          <w:sz w:val="24"/>
          <w:lang w:val="pl-PL"/>
        </w:rPr>
        <w:t>przepisów</w:t>
      </w:r>
      <w:r>
        <w:rPr>
          <w:rFonts w:ascii="Times New Roman"/>
          <w:b w:val="false"/>
          <w:i w:val="false"/>
          <w:color w:val="000000"/>
          <w:sz w:val="24"/>
          <w:lang w:val="pl-PL"/>
        </w:rPr>
        <w:t>, może dotyczyć jedynie przypadków, gdy czynności kontrolne są niezbędne dla przeciwdziałania popełnieniu przestępstwa lub wykroczenia, przeciwdziałania popełnieniu przestępstwa skarbowego lub wykroczenia skarbowego lub zabezpieczenia dowodów jego popełnienia, a także gdy przeprowadzenie kontroli jest uzasadnione bezpośrednim zagrożeniem życia, zdrowia lub środowiska.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 przypadku podjęcia czynności kontrolnych, o których mowa w </w:t>
      </w:r>
      <w:r>
        <w:rPr>
          <w:rFonts w:ascii="Times New Roman"/>
          <w:b w:val="false"/>
          <w:i w:val="false"/>
          <w:color w:val="1b1b1b"/>
          <w:sz w:val="24"/>
          <w:lang w:val="pl-PL"/>
        </w:rPr>
        <w:t>ust. 2</w:t>
      </w:r>
      <w:r>
        <w:rPr>
          <w:rFonts w:ascii="Times New Roman"/>
          <w:b w:val="false"/>
          <w:i w:val="false"/>
          <w:color w:val="000000"/>
          <w:sz w:val="24"/>
          <w:lang w:val="pl-PL"/>
        </w:rPr>
        <w:t>, osoba podejmująca kontrolę, po okazaniu legitymacji służbowej i przed podjęciem pierwszej czynności kontrolnej, informuje przedsiębiorcę lub osobę, wobec której podjęto czynności kontrolne, o przysługujących im prawach oraz obowiązkach w trakcie kontroli.</w:t>
      </w:r>
    </w:p>
    <w:p>
      <w:pPr>
        <w:spacing w:before="26" w:after="0"/>
        <w:ind w:left="0"/>
        <w:jc w:val="left"/>
        <w:textAlignment w:val="auto"/>
      </w:pPr>
      <w:r>
        <w:rPr>
          <w:rFonts w:ascii="Times New Roman"/>
          <w:b w:val="false"/>
          <w:i w:val="false"/>
          <w:color w:val="000000"/>
          <w:sz w:val="24"/>
          <w:lang w:val="pl-PL"/>
        </w:rPr>
        <w:t>3a.</w:t>
      </w:r>
      <w:r>
        <w:rPr>
          <w:rFonts w:ascii="Times New Roman"/>
          <w:b w:val="false"/>
          <w:i w:val="false"/>
          <w:color w:val="000000"/>
          <w:sz w:val="24"/>
          <w:lang w:val="pl-PL"/>
        </w:rPr>
        <w:t> Czynności kontrolne prowadzone z użyciem bezzałogowych statków powietrznych mogą być wykonywane przez pracowników organu kontroli posiadających stosowne uprawnienia do wykonywania takich lotów, bez okazania legitymacji służbowej i poinformowania przedsiębiorcy lub osoby, wobec której podjęto czynności kontrolne, o przysługujących im prawach oraz obowiązkach w trakcie kontroli.</w:t>
      </w:r>
    </w:p>
    <w:p>
      <w:pPr>
        <w:spacing w:before="26" w:after="0"/>
        <w:ind w:left="0"/>
        <w:jc w:val="left"/>
        <w:textAlignment w:val="auto"/>
      </w:pPr>
      <w:r>
        <w:rPr>
          <w:rFonts w:ascii="Times New Roman"/>
          <w:b w:val="false"/>
          <w:i w:val="false"/>
          <w:color w:val="000000"/>
          <w:sz w:val="24"/>
          <w:lang w:val="pl-PL"/>
        </w:rPr>
        <w:t>3b.</w:t>
      </w:r>
      <w:r>
        <w:rPr>
          <w:rFonts w:ascii="Times New Roman"/>
          <w:b w:val="false"/>
          <w:i w:val="false"/>
          <w:color w:val="000000"/>
          <w:sz w:val="24"/>
          <w:lang w:val="pl-PL"/>
        </w:rPr>
        <w:t xml:space="preserve"> Loty, o których mowa w </w:t>
      </w:r>
      <w:r>
        <w:rPr>
          <w:rFonts w:ascii="Times New Roman"/>
          <w:b w:val="false"/>
          <w:i w:val="false"/>
          <w:color w:val="1b1b1b"/>
          <w:sz w:val="24"/>
          <w:lang w:val="pl-PL"/>
        </w:rPr>
        <w:t>ust. 3a</w:t>
      </w:r>
      <w:r>
        <w:rPr>
          <w:rFonts w:ascii="Times New Roman"/>
          <w:b w:val="false"/>
          <w:i w:val="false"/>
          <w:color w:val="000000"/>
          <w:sz w:val="24"/>
          <w:lang w:val="pl-PL"/>
        </w:rPr>
        <w:t>, wykonywane są w przypadku, gdy operator bezzałogowego statku powietrznego znajduje się poza terenem, do którego prowadzący działalność posiada tytuł prawny.</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Czynności kontrolne mogą być wykonywane przez osoby niebędące pracownikami organu kontroli, jeżeli odrębne </w:t>
      </w:r>
      <w:r>
        <w:rPr>
          <w:rFonts w:ascii="Times New Roman"/>
          <w:b w:val="false"/>
          <w:i w:val="false"/>
          <w:color w:val="1b1b1b"/>
          <w:sz w:val="24"/>
          <w:lang w:val="pl-PL"/>
        </w:rPr>
        <w:t>przepisy</w:t>
      </w:r>
      <w:r>
        <w:rPr>
          <w:rFonts w:ascii="Times New Roman"/>
          <w:b w:val="false"/>
          <w:i w:val="false"/>
          <w:color w:val="000000"/>
          <w:sz w:val="24"/>
          <w:lang w:val="pl-PL"/>
        </w:rPr>
        <w:t xml:space="preserve"> przewidują taką możliwość.</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Do pracowników organu kontroli oraz osób, o których mowa w </w:t>
      </w:r>
      <w:r>
        <w:rPr>
          <w:rFonts w:ascii="Times New Roman"/>
          <w:b w:val="false"/>
          <w:i w:val="false"/>
          <w:color w:val="1b1b1b"/>
          <w:sz w:val="24"/>
          <w:lang w:val="pl-PL"/>
        </w:rPr>
        <w:t>ust. 4</w:t>
      </w:r>
      <w:r>
        <w:rPr>
          <w:rFonts w:ascii="Times New Roman"/>
          <w:b w:val="false"/>
          <w:i w:val="false"/>
          <w:color w:val="000000"/>
          <w:sz w:val="24"/>
          <w:lang w:val="pl-PL"/>
        </w:rPr>
        <w:t xml:space="preserve">, stosuje się </w:t>
      </w:r>
      <w:r>
        <w:rPr>
          <w:rFonts w:ascii="Times New Roman"/>
          <w:b w:val="false"/>
          <w:i w:val="false"/>
          <w:color w:val="1b1b1b"/>
          <w:sz w:val="24"/>
          <w:lang w:val="pl-PL"/>
        </w:rPr>
        <w:t>przepisy</w:t>
      </w:r>
      <w:r>
        <w:rPr>
          <w:rFonts w:ascii="Times New Roman"/>
          <w:b w:val="false"/>
          <w:i w:val="false"/>
          <w:color w:val="000000"/>
          <w:sz w:val="24"/>
          <w:lang w:val="pl-PL"/>
        </w:rPr>
        <w:t xml:space="preserve"> Kodeksu postępowania administracyjnego dotyczące wyłączenia pracownika, chyba że odrębne </w:t>
      </w:r>
      <w:r>
        <w:rPr>
          <w:rFonts w:ascii="Times New Roman"/>
          <w:b w:val="false"/>
          <w:i w:val="false"/>
          <w:color w:val="1b1b1b"/>
          <w:sz w:val="24"/>
          <w:lang w:val="pl-PL"/>
        </w:rPr>
        <w:t>przepisy</w:t>
      </w:r>
      <w:r>
        <w:rPr>
          <w:rFonts w:ascii="Times New Roman"/>
          <w:b w:val="false"/>
          <w:i w:val="false"/>
          <w:color w:val="000000"/>
          <w:sz w:val="24"/>
          <w:lang w:val="pl-PL"/>
        </w:rPr>
        <w:t xml:space="preserve"> stanowią inaczej.</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Zmiana osób upoważnionych do przeprowadzenia kontroli, zakresu przedmiotowego kontroli oraz miejsca wykonywania czynności kontrolnych wymaga każdorazowo wydania odrębnego upoważnienia. Zmiany te nie mogą prowadzić do wydłużenia przewidywanego wcześniej terminu zakończenia kontroli.</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Upoważnienie, o którym mowa w </w:t>
      </w:r>
      <w:r>
        <w:rPr>
          <w:rFonts w:ascii="Times New Roman"/>
          <w:b w:val="false"/>
          <w:i w:val="false"/>
          <w:color w:val="1b1b1b"/>
          <w:sz w:val="24"/>
          <w:lang w:val="pl-PL"/>
        </w:rPr>
        <w:t>ust. 1</w:t>
      </w:r>
      <w:r>
        <w:rPr>
          <w:rFonts w:ascii="Times New Roman"/>
          <w:b w:val="false"/>
          <w:i w:val="false"/>
          <w:color w:val="000000"/>
          <w:sz w:val="24"/>
          <w:lang w:val="pl-PL"/>
        </w:rPr>
        <w:t>, zawiera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wskazanie podstawy prawnej;</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oznaczenie organu kontroli;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datę i miejsce wystawienia;</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imię i nazwisko pracownika organu kontroli uprawnionego do przeprowadzenia kontroli oraz numer jego legitymacji służbowej;</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oznaczenie przedsiębiorcy objętego kontrolą;</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określenie zakresu przedmiotowego kontroli;</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wskazanie daty rozpoczęcia i przewidywanego terminu zakończenia kontroli;</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imię, nazwisko oraz podpis osoby udzielającej upoważnienia z podaniem zajmowanego stanowiska lub funkcji;</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pouczenie o prawach i obowiązkach przedsiębiorcy.</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Dokument, który nie spełnia wymagań, o których mowa w </w:t>
      </w:r>
      <w:r>
        <w:rPr>
          <w:rFonts w:ascii="Times New Roman"/>
          <w:b w:val="false"/>
          <w:i w:val="false"/>
          <w:color w:val="1b1b1b"/>
          <w:sz w:val="24"/>
          <w:lang w:val="pl-PL"/>
        </w:rPr>
        <w:t>ust. 7</w:t>
      </w:r>
      <w:r>
        <w:rPr>
          <w:rFonts w:ascii="Times New Roman"/>
          <w:b w:val="false"/>
          <w:i w:val="false"/>
          <w:color w:val="000000"/>
          <w:sz w:val="24"/>
          <w:lang w:val="pl-PL"/>
        </w:rPr>
        <w:t>, nie stanowi podstawy do przeprowadzenia kontroli.</w:t>
      </w:r>
    </w:p>
    <w:p>
      <w:pPr>
        <w:spacing w:before="26" w:after="0"/>
        <w:ind w:left="0"/>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Zakres kontroli nie może wykraczać poza zakres wskazany w upoważnieniu.</w:t>
      </w:r>
    </w:p>
    <w:p>
      <w:pPr>
        <w:spacing w:before="26" w:after="0"/>
        <w:ind w:left="0"/>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W przypadku nieobecności przedsiębiorcy lub osoby przez niego upoważnionej czynności kontrolne mogą być wszczęte po okazaniu legitymacji służbowej pracownikowi przedsiębiorcy lub osobie zatrudnionej u przedsiębiorcy w ramach innego stosunku prawnego, którzy mogą być uznani za osobę, o której mowa w </w:t>
      </w:r>
      <w:r>
        <w:rPr>
          <w:rFonts w:ascii="Times New Roman"/>
          <w:b w:val="false"/>
          <w:i w:val="false"/>
          <w:color w:val="1b1b1b"/>
          <w:sz w:val="24"/>
          <w:lang w:val="pl-PL"/>
        </w:rPr>
        <w:t>art. 97</w:t>
      </w:r>
      <w:r>
        <w:rPr>
          <w:rFonts w:ascii="Times New Roman"/>
          <w:b w:val="false"/>
          <w:i w:val="false"/>
          <w:color w:val="000000"/>
          <w:sz w:val="24"/>
          <w:lang w:val="pl-PL"/>
        </w:rPr>
        <w:t xml:space="preserve"> ustawy z dnia 23 kwietnia 1964 r. - Kodeks cywilny (Dz. U. z 2025 r. poz. 1071 i 1172), lub w obecności przywołanego świadka, którym powinien być funkcjonariusz publiczny, niebędący jednak pracownikiem organu przeprowadzającego kontrolę.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w:t>
      </w:r>
      <w:r>
        <w:rPr>
          <w:rFonts w:ascii="Times New Roman"/>
          <w:b/>
          <w:i w:val="false"/>
          <w:color w:val="000000"/>
          <w:sz w:val="24"/>
          <w:lang w:val="pl-PL"/>
        </w:rPr>
        <w:t xml:space="preserve"> [Obecność przedsiębiorcy lub jego przedstawiciela podczas wykonywania czynności kontrolnych]</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Czynności kontrolne wykonuje się w obecności przedsiębiorcy lub osoby przez niego upoważnionej.</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Przepisu </w:t>
      </w:r>
      <w:r>
        <w:rPr>
          <w:rFonts w:ascii="Times New Roman"/>
          <w:b w:val="false"/>
          <w:i w:val="false"/>
          <w:color w:val="1b1b1b"/>
          <w:sz w:val="24"/>
          <w:lang w:val="pl-PL"/>
        </w:rPr>
        <w:t>ust. 1</w:t>
      </w:r>
      <w:r>
        <w:rPr>
          <w:rFonts w:ascii="Times New Roman"/>
          <w:b w:val="false"/>
          <w:i w:val="false"/>
          <w:color w:val="000000"/>
          <w:sz w:val="24"/>
          <w:lang w:val="pl-PL"/>
        </w:rPr>
        <w:t xml:space="preserve"> nie stosuje się, w przypadkach gdy:</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ratyfikowane umowy międzynarodowe albo bezpośrednio stosowane przepisy prawa Unii Europejskiej stanowią inaczej;</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przeprowadzenie kontroli jest niezbędne dla przeciwdziałania popełnieniu przestępstwa lub wykroczenia, przeciwdziałania popełnieniu przestępstwa skarbowego lub wykroczenia skarbowego lub zabezpieczenia dowodów jego popełnienia;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kontrola jest prowadzona w toku postępowania prowadzonego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16 lutego 2007 r. o ochronie konkurencji i konsumentów;</w:t>
      </w:r>
    </w:p>
    <w:p>
      <w:pPr>
        <w:spacing w:before="26" w:after="0"/>
        <w:ind w:left="373"/>
        <w:jc w:val="left"/>
        <w:textAlignment w:val="auto"/>
      </w:pPr>
      <w:r>
        <w:rPr>
          <w:rFonts w:ascii="Times New Roman"/>
          <w:b w:val="false"/>
          <w:i w:val="false"/>
          <w:color w:val="000000"/>
          <w:sz w:val="24"/>
          <w:lang w:val="pl-PL"/>
        </w:rPr>
        <w:t>3a)</w:t>
      </w:r>
      <w:r>
        <w:rPr>
          <w:rFonts w:ascii="Times New Roman"/>
          <w:b w:val="false"/>
          <w:i w:val="false"/>
          <w:color w:val="000000"/>
          <w:sz w:val="24"/>
          <w:lang w:val="pl-PL"/>
        </w:rPr>
        <w:t xml:space="preserve"> kontrola jest prowadzona w toku postępowania prowadzonego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12 lipca 2024 r. - Prawo komunikacji elektronicznej w zakresie wykorzystania częstotliwości radiowych;</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przeprowadzenie kontroli jest uzasadnione bezpośrednim zagrożeniem życia, zdrowia lub środowiska.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Przedsiębiorca wskazuje na piśmie osobę upoważnioną, o której mowa w </w:t>
      </w:r>
      <w:r>
        <w:rPr>
          <w:rFonts w:ascii="Times New Roman"/>
          <w:b w:val="false"/>
          <w:i w:val="false"/>
          <w:color w:val="1b1b1b"/>
          <w:sz w:val="24"/>
          <w:lang w:val="pl-PL"/>
        </w:rPr>
        <w:t>ust. 1</w:t>
      </w:r>
      <w:r>
        <w:rPr>
          <w:rFonts w:ascii="Times New Roman"/>
          <w:b w:val="false"/>
          <w:i w:val="false"/>
          <w:color w:val="000000"/>
          <w:sz w:val="24"/>
          <w:lang w:val="pl-PL"/>
        </w:rPr>
        <w:t>, w szczególności w czasie swojej nieobecności.</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Do czasu trwania kontroli, o którym mowa w </w:t>
      </w:r>
      <w:r>
        <w:rPr>
          <w:rFonts w:ascii="Times New Roman"/>
          <w:b w:val="false"/>
          <w:i w:val="false"/>
          <w:color w:val="1b1b1b"/>
          <w:sz w:val="24"/>
          <w:lang w:val="pl-PL"/>
        </w:rPr>
        <w:t>art. 55 ust. 1</w:t>
      </w:r>
      <w:r>
        <w:rPr>
          <w:rFonts w:ascii="Times New Roman"/>
          <w:b w:val="false"/>
          <w:i w:val="false"/>
          <w:color w:val="000000"/>
          <w:sz w:val="24"/>
          <w:lang w:val="pl-PL"/>
        </w:rPr>
        <w:t>, nie wlicza się czasu nieobecności przedsiębiorcy lub osoby przez niego upoważnionej, jeżeli stanowi to przeszkodę w wykonaniu czynności kontrolnych.</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W przypadku nieobecności przedsiębiorcy lub osoby przez niego upoważnionej albo niewykonania przez przedsiębiorcę obowiązku, o którym mowa w </w:t>
      </w:r>
      <w:r>
        <w:rPr>
          <w:rFonts w:ascii="Times New Roman"/>
          <w:b w:val="false"/>
          <w:i w:val="false"/>
          <w:color w:val="1b1b1b"/>
          <w:sz w:val="24"/>
          <w:lang w:val="pl-PL"/>
        </w:rPr>
        <w:t>ust. 3</w:t>
      </w:r>
      <w:r>
        <w:rPr>
          <w:rFonts w:ascii="Times New Roman"/>
          <w:b w:val="false"/>
          <w:i w:val="false"/>
          <w:color w:val="000000"/>
          <w:sz w:val="24"/>
          <w:lang w:val="pl-PL"/>
        </w:rPr>
        <w:t xml:space="preserve">, czynności kontrolne mogą być wykonywane w obecności innego pracownika przedsiębiorcy lub osoby zatrudnionej u przedsiębiorcy w ramach innego stosunku prawnego, którzy mogą być uznani za osobę, o której mowa w </w:t>
      </w:r>
      <w:r>
        <w:rPr>
          <w:rFonts w:ascii="Times New Roman"/>
          <w:b w:val="false"/>
          <w:i w:val="false"/>
          <w:color w:val="1b1b1b"/>
          <w:sz w:val="24"/>
          <w:lang w:val="pl-PL"/>
        </w:rPr>
        <w:t>art. 97</w:t>
      </w:r>
      <w:r>
        <w:rPr>
          <w:rFonts w:ascii="Times New Roman"/>
          <w:b w:val="false"/>
          <w:i w:val="false"/>
          <w:color w:val="000000"/>
          <w:sz w:val="24"/>
          <w:lang w:val="pl-PL"/>
        </w:rPr>
        <w:t xml:space="preserve"> ustawy z dnia 23 kwietnia 1964 r. - Kodeks cywilny, lub w obecności przywołanego świadka, którym powinien być funkcjonariusz publiczny, niebędący jednak pracownikiem organu przeprowadzającego kontrolę.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w:t>
      </w:r>
      <w:r>
        <w:rPr>
          <w:rFonts w:ascii="Times New Roman"/>
          <w:b/>
          <w:i w:val="false"/>
          <w:color w:val="000000"/>
          <w:sz w:val="24"/>
          <w:lang w:val="pl-PL"/>
        </w:rPr>
        <w:t xml:space="preserve"> [Miejsce przeprowadzania kontroli; kontrola zdalna]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Kontrolę przeprowadza się w siedzibie przedsiębiorcy lub w miejscu wykonywania działalności gospodarczej oraz w godzinach pracy lub w czasie faktycznego wykonywania działalności gospodarczej przez przedsiębiorcę.</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Za zgodą lub na wniosek przedsiębiorcy kontrolę przeprowadza się w miejscu przechowywania dokumentacji, w tym ksiąg podatkowych, innym niż siedziba lub miejsce wykonywania działalności gospodarczej, jeżeli może to usprawnić prowadzenie kontroli.</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Za zgodą przedsiębiorcy kontrola lub poszczególne czynności kontrolne mogą być przeprowadzane również w siedzibie organu kontroli, jeżeli może to usprawnić prowadzenie kontroli.</w:t>
      </w:r>
    </w:p>
    <w:p>
      <w:pPr>
        <w:spacing w:before="26" w:after="0"/>
        <w:ind w:left="0"/>
        <w:jc w:val="left"/>
        <w:textAlignment w:val="auto"/>
      </w:pPr>
      <w:r>
        <w:rPr>
          <w:rFonts w:ascii="Times New Roman"/>
          <w:b w:val="false"/>
          <w:i w:val="false"/>
          <w:color w:val="000000"/>
          <w:sz w:val="24"/>
          <w:lang w:val="pl-PL"/>
        </w:rPr>
        <w:t>3a.</w:t>
      </w:r>
      <w:r>
        <w:rPr>
          <w:rFonts w:ascii="Times New Roman"/>
          <w:b w:val="false"/>
          <w:i w:val="false"/>
          <w:color w:val="000000"/>
          <w:sz w:val="24"/>
          <w:lang w:val="pl-PL"/>
        </w:rPr>
        <w:t xml:space="preserve"> Za zgodą przedsiębiorcy kontrola lub poszczególne czynności kontrolne mogą być przeprowadzone w sposób zdalny za pośrednictwem operatora pocztowego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23 listopada 2012 r. - Prawo pocztowe (Dz. U. z 2025 r. poz. 366 i 820) lub za pomocą środków komunikacji elektronicznej w rozumieniu </w:t>
      </w:r>
      <w:r>
        <w:rPr>
          <w:rFonts w:ascii="Times New Roman"/>
          <w:b w:val="false"/>
          <w:i w:val="false"/>
          <w:color w:val="1b1b1b"/>
          <w:sz w:val="24"/>
          <w:lang w:val="pl-PL"/>
        </w:rPr>
        <w:t>art. 2 pkt 5</w:t>
      </w:r>
      <w:r>
        <w:rPr>
          <w:rFonts w:ascii="Times New Roman"/>
          <w:b w:val="false"/>
          <w:i w:val="false"/>
          <w:color w:val="000000"/>
          <w:sz w:val="24"/>
          <w:lang w:val="pl-PL"/>
        </w:rPr>
        <w:t xml:space="preserve"> ustawy z dnia 18 lipca 2002 r. o świadczeniu usług drogą elektroniczną (Dz. U. z 2024 r. poz. 1513), jeżeli może to usprawnić prowadzenie kontroli lub przemawia za tym charakter prowadzonej przez przedsiębiorcę działalności gospodarczej.</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Dokumenty oraz informacje zebrane w toku czynności wykonywanych przez organ kontroli z naruszeniem przepisów ust. 2 i 3a nie stanowią dowodu w postępowaniu kontrolnym.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w:t>
      </w:r>
      <w:r>
        <w:rPr>
          <w:rFonts w:ascii="Times New Roman"/>
          <w:b/>
          <w:i w:val="false"/>
          <w:color w:val="000000"/>
          <w:sz w:val="24"/>
          <w:lang w:val="pl-PL"/>
        </w:rPr>
        <w:t xml:space="preserve"> [Sposób wykonywania czynności kontrolnych]</w:t>
      </w:r>
    </w:p>
    <w:p>
      <w:pPr>
        <w:spacing w:after="0"/>
        <w:ind w:left="0"/>
        <w:jc w:val="left"/>
        <w:textAlignment w:val="auto"/>
      </w:pPr>
      <w:r>
        <w:rPr>
          <w:rFonts w:ascii="Times New Roman"/>
          <w:b w:val="false"/>
          <w:i w:val="false"/>
          <w:color w:val="000000"/>
          <w:sz w:val="24"/>
          <w:lang w:val="pl-PL"/>
        </w:rPr>
        <w:t> Czynności kontrolne wykonuje się w sposób sprawny i możliwie niezakłócający funkcjonowania przedsiębiorcy. W przypadku gdy przedsiębiorca wskaże na piśmie, że wykonywane czynności zakłócają w sposób istotny działalność gospodarczą przedsiębiorcy, konieczność podjęcia takich czynności uzasadnia się w protokole kontroli.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w:t>
      </w:r>
      <w:r>
        <w:rPr>
          <w:rFonts w:ascii="Times New Roman"/>
          <w:b/>
          <w:i w:val="false"/>
          <w:color w:val="000000"/>
          <w:sz w:val="24"/>
          <w:lang w:val="pl-PL"/>
        </w:rPr>
        <w:t xml:space="preserve"> [Protokół kontroli]</w:t>
      </w:r>
    </w:p>
    <w:p>
      <w:pPr>
        <w:spacing w:after="0"/>
        <w:ind w:left="0"/>
        <w:jc w:val="left"/>
        <w:textAlignment w:val="auto"/>
      </w:pPr>
      <w:r>
        <w:rPr>
          <w:rFonts w:ascii="Times New Roman"/>
          <w:b w:val="false"/>
          <w:i w:val="false"/>
          <w:color w:val="000000"/>
          <w:sz w:val="24"/>
          <w:lang w:val="pl-PL"/>
        </w:rPr>
        <w:t> Ustalenia kontroli zamieszcza się w protokole kontroli.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w:t>
      </w:r>
      <w:r>
        <w:rPr>
          <w:rFonts w:ascii="Times New Roman"/>
          <w:b/>
          <w:i w:val="false"/>
          <w:color w:val="000000"/>
          <w:sz w:val="24"/>
          <w:lang w:val="pl-PL"/>
        </w:rPr>
        <w:t xml:space="preserve"> [Prowadzenie więcej niż jednej kontroli]</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Nie można równocześnie podejmować i prowadzić więcej niż jednej kontroli działalności przedsiębiorcy, z wyłączeniem przypadków, gdy:</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ratyfikowane umowy międzynarodowe albo bezpośrednio stosowane przepisy prawa Unii Europejskiej stanowią inaczej;</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przeprowadzenie kontroli jest niezbędne dla przeciwdziałania popełnieniu przestępstwa lub wykroczenia, przeciwdziałania popełnieniu przestępstwa skarbowego lub wykroczenia skarbowego lub zabezpieczenia dowodów jego popełnienia;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przedsiębiorca wyraził zgodę na równoczesne podjęcie i prowadzenie więcej niż jednej kontroli;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przeprowadzenie kontroli jest uzasadnione bezpośrednim zagrożeniem życia, zdrowia lub środowiska;</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kontrola jest prowadzona w toku postępowania prowadzonego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16 lutego 2007 r. o ochronie konkurencji i konsumentów;</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kontrola jest prowadzona na podstawie </w:t>
      </w:r>
      <w:r>
        <w:rPr>
          <w:rFonts w:ascii="Times New Roman"/>
          <w:b w:val="false"/>
          <w:i w:val="false"/>
          <w:color w:val="1b1b1b"/>
          <w:sz w:val="24"/>
          <w:lang w:val="pl-PL"/>
        </w:rPr>
        <w:t>art. 23b</w:t>
      </w:r>
      <w:r>
        <w:rPr>
          <w:rFonts w:ascii="Times New Roman"/>
          <w:b w:val="false"/>
          <w:i w:val="false"/>
          <w:color w:val="000000"/>
          <w:sz w:val="24"/>
          <w:lang w:val="pl-PL"/>
        </w:rPr>
        <w:t xml:space="preserve"> lub </w:t>
      </w:r>
      <w:r>
        <w:rPr>
          <w:rFonts w:ascii="Times New Roman"/>
          <w:b w:val="false"/>
          <w:i w:val="false"/>
          <w:color w:val="1b1b1b"/>
          <w:sz w:val="24"/>
          <w:lang w:val="pl-PL"/>
        </w:rPr>
        <w:t>art. 23r ust. 1</w:t>
      </w:r>
      <w:r>
        <w:rPr>
          <w:rFonts w:ascii="Times New Roman"/>
          <w:b w:val="false"/>
          <w:i w:val="false"/>
          <w:color w:val="000000"/>
          <w:sz w:val="24"/>
          <w:lang w:val="pl-PL"/>
        </w:rPr>
        <w:t xml:space="preserve"> ustawy z dnia 10 kwietnia 1997 r. - Prawo energetyczne;</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kontrola dotyczy zasadności dokonania zwrotu podatku od towarów i usług przed dokonaniem tego zwrotu;</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przeprowadzenie kontroli jest realizacją obowiązków wynikających z przepisów prawa Unii Europejskiej o ochronie konkurencji lub przepisów prawa Unii Europejskiej w zakresie ochrony interesów finansowych Unii Europejskiej;</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kontrola dotyczy zasadności dokonania zwrotu podatku od towarów i usług na podstawie przepisów o zwrocie osobom fizycznym niektórych wydatków związanych z budownictwem mieszkaniowym;</w:t>
      </w:r>
    </w:p>
    <w:p>
      <w:pPr>
        <w:spacing w:before="26" w:after="0"/>
        <w:ind w:left="373"/>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kontrola dotyczy zasadności dokonania zwrotu podatku od towarów i usług na podstawie </w:t>
      </w:r>
      <w:r>
        <w:rPr>
          <w:rFonts w:ascii="Times New Roman"/>
          <w:b w:val="false"/>
          <w:i w:val="false"/>
          <w:color w:val="1b1b1b"/>
          <w:sz w:val="24"/>
          <w:lang w:val="pl-PL"/>
        </w:rPr>
        <w:t>przepisów</w:t>
      </w:r>
      <w:r>
        <w:rPr>
          <w:rFonts w:ascii="Times New Roman"/>
          <w:b w:val="false"/>
          <w:i w:val="false"/>
          <w:color w:val="000000"/>
          <w:sz w:val="24"/>
          <w:lang w:val="pl-PL"/>
        </w:rPr>
        <w:t xml:space="preserve"> o zwrocie osobom fizycznym niektórych wydatków poniesionych w związku z budową pierwszego własnego mieszkania;</w:t>
      </w:r>
    </w:p>
    <w:p>
      <w:pPr>
        <w:spacing w:before="26" w:after="0"/>
        <w:ind w:left="373"/>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xml:space="preserve"> prowadzona kontrola jest kontrolą amerykańskich rachunków raportowanych uregulowaną w </w:t>
      </w:r>
      <w:r>
        <w:rPr>
          <w:rFonts w:ascii="Times New Roman"/>
          <w:b w:val="false"/>
          <w:i w:val="false"/>
          <w:color w:val="1b1b1b"/>
          <w:sz w:val="24"/>
          <w:lang w:val="pl-PL"/>
        </w:rPr>
        <w:t>ustawie</w:t>
      </w:r>
      <w:r>
        <w:rPr>
          <w:rFonts w:ascii="Times New Roman"/>
          <w:b w:val="false"/>
          <w:i w:val="false"/>
          <w:color w:val="000000"/>
          <w:sz w:val="24"/>
          <w:lang w:val="pl-PL"/>
        </w:rPr>
        <w:t xml:space="preserve"> z dnia 9 października 2015 r. o wykonywaniu Umowy między Rządem Rzeczypospolitej Polskiej a Rządem Stanów Zjednoczonych Ameryki w sprawie poprawy wypełniania międzynarodowych obowiązków podatkowych oraz wdrożenia ustawodawstwa FATCA (Dz. U. z 2024 r. poz. 1185);</w:t>
      </w:r>
    </w:p>
    <w:p>
      <w:pPr>
        <w:spacing w:before="26" w:after="0"/>
        <w:ind w:left="373"/>
        <w:jc w:val="left"/>
        <w:textAlignment w:val="auto"/>
      </w:pPr>
      <w:r>
        <w:rPr>
          <w:rFonts w:ascii="Times New Roman"/>
          <w:b w:val="false"/>
          <w:i w:val="false"/>
          <w:color w:val="000000"/>
          <w:sz w:val="24"/>
          <w:lang w:val="pl-PL"/>
        </w:rPr>
        <w:t>12)</w:t>
      </w:r>
      <w:r>
        <w:rPr>
          <w:rFonts w:ascii="Times New Roman"/>
          <w:b w:val="false"/>
          <w:i w:val="false"/>
          <w:color w:val="000000"/>
          <w:sz w:val="24"/>
          <w:lang w:val="pl-PL"/>
        </w:rPr>
        <w:t xml:space="preserve"> kontrola jest przeprowadzana na podstawie przepisów ustawy z dnia 13 lutego 2020 r. o ochronie roślin przed agrofagami;</w:t>
      </w:r>
    </w:p>
    <w:p>
      <w:pPr>
        <w:spacing w:before="26" w:after="0"/>
        <w:ind w:left="373"/>
        <w:jc w:val="left"/>
        <w:textAlignment w:val="auto"/>
      </w:pPr>
      <w:r>
        <w:rPr>
          <w:rFonts w:ascii="Times New Roman"/>
          <w:b w:val="false"/>
          <w:i w:val="false"/>
          <w:color w:val="000000"/>
          <w:sz w:val="24"/>
          <w:lang w:val="pl-PL"/>
        </w:rPr>
        <w:t>13)</w:t>
      </w:r>
      <w:r>
        <w:rPr>
          <w:rFonts w:ascii="Times New Roman"/>
          <w:b w:val="false"/>
          <w:i w:val="false"/>
          <w:color w:val="000000"/>
          <w:sz w:val="24"/>
          <w:lang w:val="pl-PL"/>
        </w:rPr>
        <w:t xml:space="preserve"> kontrola jest przeprowadzana wyłącznie w celu sprawdzenia wykonania wezwania, o którym mowa w </w:t>
      </w:r>
      <w:r>
        <w:rPr>
          <w:rFonts w:ascii="Times New Roman"/>
          <w:b w:val="false"/>
          <w:i w:val="false"/>
          <w:color w:val="1b1b1b"/>
          <w:sz w:val="24"/>
          <w:lang w:val="pl-PL"/>
        </w:rPr>
        <w:t>art. 21a ust. 1</w:t>
      </w:r>
      <w:r>
        <w:rPr>
          <w:rFonts w:ascii="Times New Roman"/>
          <w:b w:val="false"/>
          <w:i w:val="false"/>
          <w:color w:val="000000"/>
          <w:sz w:val="24"/>
          <w:lang w:val="pl-PL"/>
        </w:rPr>
        <w:t xml:space="preserve">, zobowiązania, o którym mowa w </w:t>
      </w:r>
      <w:r>
        <w:rPr>
          <w:rFonts w:ascii="Times New Roman"/>
          <w:b w:val="false"/>
          <w:i w:val="false"/>
          <w:color w:val="1b1b1b"/>
          <w:sz w:val="24"/>
          <w:lang w:val="pl-PL"/>
        </w:rPr>
        <w:t>art. 21a ust. 2</w:t>
      </w:r>
      <w:r>
        <w:rPr>
          <w:rFonts w:ascii="Times New Roman"/>
          <w:b w:val="false"/>
          <w:i w:val="false"/>
          <w:color w:val="000000"/>
          <w:sz w:val="24"/>
          <w:lang w:val="pl-PL"/>
        </w:rPr>
        <w:t xml:space="preserve">, lub weryfikacji powiadomienia, o którym mowa w </w:t>
      </w:r>
      <w:r>
        <w:rPr>
          <w:rFonts w:ascii="Times New Roman"/>
          <w:b w:val="false"/>
          <w:i w:val="false"/>
          <w:color w:val="1b1b1b"/>
          <w:sz w:val="24"/>
          <w:lang w:val="pl-PL"/>
        </w:rPr>
        <w:t>art. 21a ust. 5</w:t>
      </w:r>
      <w:r>
        <w:rPr>
          <w:rFonts w:ascii="Times New Roman"/>
          <w:b w:val="false"/>
          <w:i w:val="false"/>
          <w:color w:val="000000"/>
          <w:sz w:val="24"/>
          <w:lang w:val="pl-PL"/>
        </w:rPr>
        <w:t xml:space="preserve"> lub </w:t>
      </w:r>
      <w:r>
        <w:rPr>
          <w:rFonts w:ascii="Times New Roman"/>
          <w:b w:val="false"/>
          <w:i w:val="false"/>
          <w:color w:val="1b1b1b"/>
          <w:sz w:val="24"/>
          <w:lang w:val="pl-PL"/>
        </w:rPr>
        <w:t>6</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14)</w:t>
      </w:r>
      <w:r>
        <w:rPr>
          <w:rFonts w:ascii="Times New Roman"/>
          <w:b w:val="false"/>
          <w:i w:val="false"/>
          <w:color w:val="000000"/>
          <w:sz w:val="24"/>
          <w:lang w:val="pl-PL"/>
        </w:rPr>
        <w:t xml:space="preserve"> kontrola jest przeprowadzana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8 marca 2013 r. o środkach ochrony roślin (Dz. U. z 2024 r. poz. 630 oraz z 2025 r. poz. 1168) - w przypadku gdy kontrolę tę przeprowadza się bez wcześniejszego uprzedzenia zgodnie z </w:t>
      </w:r>
      <w:r>
        <w:rPr>
          <w:rFonts w:ascii="Times New Roman"/>
          <w:b w:val="false"/>
          <w:i w:val="false"/>
          <w:color w:val="1b1b1b"/>
          <w:sz w:val="24"/>
          <w:lang w:val="pl-PL"/>
        </w:rPr>
        <w:t>art. 9 ust. 4</w:t>
      </w:r>
      <w:r>
        <w:rPr>
          <w:rFonts w:ascii="Times New Roman"/>
          <w:b w:val="false"/>
          <w:i w:val="false"/>
          <w:color w:val="000000"/>
          <w:sz w:val="24"/>
          <w:lang w:val="pl-PL"/>
        </w:rPr>
        <w:t xml:space="preserve"> rozporządzenia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 zmieniającego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uchylającego rozporządzenia Parlamentu Europejskiego i Rady (WE) nr 854/2004 i (WE) nr 882/2004, dyrektywy Rady 89/608/EWG, 89/662/EWG, 90/425/EWG, 91/496/EWG, 96/23/WE, 96/93/WE i 97/78/WE oraz decyzję Rady 92/438/EWG (rozporządzenie w sprawie kontroli urzędowych) (Dz. Urz. UE L 95 z 07.04.2017, str. 1, z późn. zm.);</w:t>
      </w:r>
    </w:p>
    <w:p>
      <w:pPr>
        <w:spacing w:before="26" w:after="0"/>
        <w:ind w:left="373"/>
        <w:jc w:val="left"/>
        <w:textAlignment w:val="auto"/>
      </w:pPr>
      <w:r>
        <w:rPr>
          <w:rFonts w:ascii="Times New Roman"/>
          <w:b w:val="false"/>
          <w:i w:val="false"/>
          <w:color w:val="000000"/>
          <w:sz w:val="24"/>
          <w:lang w:val="pl-PL"/>
        </w:rPr>
        <w:t>15)</w:t>
      </w:r>
      <w:r>
        <w:rPr>
          <w:rFonts w:ascii="Times New Roman"/>
          <w:b w:val="false"/>
          <w:i w:val="false"/>
          <w:color w:val="000000"/>
          <w:sz w:val="24"/>
          <w:lang w:val="pl-PL"/>
        </w:rPr>
        <w:t xml:space="preserve"> kontrola jest przeprowadzana na podstawie przepisów </w:t>
      </w:r>
      <w:r>
        <w:rPr>
          <w:rFonts w:ascii="Times New Roman"/>
          <w:b w:val="false"/>
          <w:i w:val="false"/>
          <w:color w:val="1b1b1b"/>
          <w:sz w:val="24"/>
          <w:lang w:val="pl-PL"/>
        </w:rPr>
        <w:t>art. 1 ust. 2 pkt 13a</w:t>
      </w:r>
      <w:r>
        <w:rPr>
          <w:rFonts w:ascii="Times New Roman"/>
          <w:b w:val="false"/>
          <w:i w:val="false"/>
          <w:color w:val="000000"/>
          <w:sz w:val="24"/>
          <w:lang w:val="pl-PL"/>
        </w:rPr>
        <w:t xml:space="preserve"> ustawy z dnia 12 października 1990 r. o Straży Granicznej;</w:t>
      </w:r>
    </w:p>
    <w:p>
      <w:pPr>
        <w:spacing w:before="26" w:after="0"/>
        <w:ind w:left="373"/>
        <w:jc w:val="left"/>
        <w:textAlignment w:val="auto"/>
      </w:pPr>
      <w:r>
        <w:rPr>
          <w:rFonts w:ascii="Times New Roman"/>
          <w:b w:val="false"/>
          <w:i w:val="false"/>
          <w:color w:val="000000"/>
          <w:sz w:val="24"/>
          <w:lang w:val="pl-PL"/>
        </w:rPr>
        <w:t>16)</w:t>
      </w:r>
      <w:r>
        <w:rPr>
          <w:rFonts w:ascii="Times New Roman"/>
          <w:b w:val="false"/>
          <w:i w:val="false"/>
          <w:color w:val="000000"/>
          <w:sz w:val="24"/>
          <w:lang w:val="pl-PL"/>
        </w:rPr>
        <w:t xml:space="preserve"> kontrola jest przeprowadzana na podstawie przepisów </w:t>
      </w:r>
      <w:r>
        <w:rPr>
          <w:rFonts w:ascii="Times New Roman"/>
          <w:b w:val="false"/>
          <w:i w:val="false"/>
          <w:color w:val="1b1b1b"/>
          <w:sz w:val="24"/>
          <w:lang w:val="pl-PL"/>
        </w:rPr>
        <w:t>art. 10 ust. 1 pkt 4</w:t>
      </w:r>
      <w:r>
        <w:rPr>
          <w:rFonts w:ascii="Times New Roman"/>
          <w:b w:val="false"/>
          <w:i w:val="false"/>
          <w:color w:val="000000"/>
          <w:sz w:val="24"/>
          <w:lang w:val="pl-PL"/>
        </w:rPr>
        <w:t xml:space="preserve"> ustawy z dnia 13 kwietnia 2007 r. o Państwowej Inspekcji Pracy.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Jeżeli przedsiębiorca wykonuje działalność gospodarczą w więcej niż jednym zakładzie lub innej wyodrębnionej części przedsiębiorstwa, przepis </w:t>
      </w:r>
      <w:r>
        <w:rPr>
          <w:rFonts w:ascii="Times New Roman"/>
          <w:b w:val="false"/>
          <w:i w:val="false"/>
          <w:color w:val="1b1b1b"/>
          <w:sz w:val="24"/>
          <w:lang w:val="pl-PL"/>
        </w:rPr>
        <w:t>ust. 1</w:t>
      </w:r>
      <w:r>
        <w:rPr>
          <w:rFonts w:ascii="Times New Roman"/>
          <w:b w:val="false"/>
          <w:i w:val="false"/>
          <w:color w:val="000000"/>
          <w:sz w:val="24"/>
          <w:lang w:val="pl-PL"/>
        </w:rPr>
        <w:t xml:space="preserve"> stosuje się do zakładu lub części przedsiębiorstwa.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W zakładzie lub części przedsiębiorstwa, w której przeprowadzana jest kontrola, dopuszczalne jest równoczesne wykonanie czynności kontrolnych niezbędnych do zakończenia innej kontroli u tego przedsiębiorcy.</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Przepisu </w:t>
      </w:r>
      <w:r>
        <w:rPr>
          <w:rFonts w:ascii="Times New Roman"/>
          <w:b w:val="false"/>
          <w:i w:val="false"/>
          <w:color w:val="1b1b1b"/>
          <w:sz w:val="24"/>
          <w:lang w:val="pl-PL"/>
        </w:rPr>
        <w:t>ust. 2</w:t>
      </w:r>
      <w:r>
        <w:rPr>
          <w:rFonts w:ascii="Times New Roman"/>
          <w:b w:val="false"/>
          <w:i w:val="false"/>
          <w:color w:val="000000"/>
          <w:sz w:val="24"/>
          <w:lang w:val="pl-PL"/>
        </w:rPr>
        <w:t xml:space="preserve"> nie stosuje się do kontroli działalności gospodarczej mikroprzedsiębiorców oraz małych przedsiębiorców.</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Jeżeli działalność gospodarcza przedsiębiorcy jest już objęta kontrolą innego organu, organ kontroli odstąpi od podjęcia czynności kontrolnych oraz może ustalić z przedsiębiorcą inny termin przeprowadzenia kontroli.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w:t>
      </w:r>
      <w:r>
        <w:rPr>
          <w:rFonts w:ascii="Times New Roman"/>
          <w:b/>
          <w:i w:val="false"/>
          <w:color w:val="000000"/>
          <w:sz w:val="24"/>
          <w:lang w:val="pl-PL"/>
        </w:rPr>
        <w:t xml:space="preserve"> [Czas trwania kontroli]</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Czas trwania wszystkich kontroli organu kontroli u przedsiębiorcy w jednym roku kalendarzowym nie może przekraczać w odniesieniu do:</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mikroprzedsiębiorców - 6 dni roboczych;</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małych przedsiębiorców - 18 dni roboczych;</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średnich przedsiębiorców - 24 dni roboczych;</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pozostałych przedsiębiorców - 48 dni roboczych.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Przepisu </w:t>
      </w:r>
      <w:r>
        <w:rPr>
          <w:rFonts w:ascii="Times New Roman"/>
          <w:b w:val="false"/>
          <w:i w:val="false"/>
          <w:color w:val="1b1b1b"/>
          <w:sz w:val="24"/>
          <w:lang w:val="pl-PL"/>
        </w:rPr>
        <w:t>ust. 1</w:t>
      </w:r>
      <w:r>
        <w:rPr>
          <w:rFonts w:ascii="Times New Roman"/>
          <w:b w:val="false"/>
          <w:i w:val="false"/>
          <w:color w:val="000000"/>
          <w:sz w:val="24"/>
          <w:lang w:val="pl-PL"/>
        </w:rPr>
        <w:t xml:space="preserve"> nie stosuje się, jeżeli: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ratyfikowane umowy międzynarodowe albo bezpośrednio stosowane przepisy prawa Unii Europejskiej stanowią inaczej;</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przeprowadzenie kontroli jest niezbędne dla przeciwdziałania popełnieniu przestępstwa lub wykroczenia, przeciwdziałania popełnieniu przestępstwa skarbowego lub wykroczenia skarbowego lub zabezpieczenia dowodów jego popełnienia;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przeprowadzenie kontroli jest uzasadnione bezpośrednim zagrożeniem życia, zdrowia lub środowiska;</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kontrola jest prowadzona w toku postępowania prowadzonego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16 lutego 2007 r. o ochronie konkurencji i konsumentów;</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kontrola jest prowadzona na podstawie </w:t>
      </w:r>
      <w:r>
        <w:rPr>
          <w:rFonts w:ascii="Times New Roman"/>
          <w:b w:val="false"/>
          <w:i w:val="false"/>
          <w:color w:val="1b1b1b"/>
          <w:sz w:val="24"/>
          <w:lang w:val="pl-PL"/>
        </w:rPr>
        <w:t>art. 23b</w:t>
      </w:r>
      <w:r>
        <w:rPr>
          <w:rFonts w:ascii="Times New Roman"/>
          <w:b w:val="false"/>
          <w:i w:val="false"/>
          <w:color w:val="000000"/>
          <w:sz w:val="24"/>
          <w:lang w:val="pl-PL"/>
        </w:rPr>
        <w:t xml:space="preserve"> lub </w:t>
      </w:r>
      <w:r>
        <w:rPr>
          <w:rFonts w:ascii="Times New Roman"/>
          <w:b w:val="false"/>
          <w:i w:val="false"/>
          <w:color w:val="1b1b1b"/>
          <w:sz w:val="24"/>
          <w:lang w:val="pl-PL"/>
        </w:rPr>
        <w:t>art. 23r ust. 1</w:t>
      </w:r>
      <w:r>
        <w:rPr>
          <w:rFonts w:ascii="Times New Roman"/>
          <w:b w:val="false"/>
          <w:i w:val="false"/>
          <w:color w:val="000000"/>
          <w:sz w:val="24"/>
          <w:lang w:val="pl-PL"/>
        </w:rPr>
        <w:t xml:space="preserve"> ustawy z dnia 10 kwietnia 1997 r. - Prawo energetyczne;</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kontrola dotyczy zasadności dokonania zwrotu podatku od towarów i usług przed dokonaniem tego zwrotu;</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przeprowadzenie kontroli jest realizacją obowiązków wynikających z przepisów prawa Unii Europejskiej o ochronie konkurencji lub przepisów prawa Unii Europejskiej w zakresie ochrony interesów finansowych Unii Europejskiej;</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kontrola dotyczy podmiotów, którym na mocy odrębnych </w:t>
      </w:r>
      <w:r>
        <w:rPr>
          <w:rFonts w:ascii="Times New Roman"/>
          <w:b w:val="false"/>
          <w:i w:val="false"/>
          <w:color w:val="1b1b1b"/>
          <w:sz w:val="24"/>
          <w:lang w:val="pl-PL"/>
        </w:rPr>
        <w:t>przepisów</w:t>
      </w:r>
      <w:r>
        <w:rPr>
          <w:rFonts w:ascii="Times New Roman"/>
          <w:b w:val="false"/>
          <w:i w:val="false"/>
          <w:color w:val="000000"/>
          <w:sz w:val="24"/>
          <w:lang w:val="pl-PL"/>
        </w:rPr>
        <w:t xml:space="preserve"> właściwy organ wydał decyzję o uznaniu prawidłowości wyboru i stosowania metody ustalania ceny transakcyjnej między podmiotami powiązanymi - w zakresie związanym z wykonaniem tej decyzji;</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kontrola dotyczy zasadności dokonania zwrotu podatku od towarów i usług na podstawie przepisów o zwrocie osobom fizycznym niektórych wydatków związanych z budownictwem mieszkaniowym;</w:t>
      </w:r>
    </w:p>
    <w:p>
      <w:pPr>
        <w:spacing w:before="26" w:after="0"/>
        <w:ind w:left="373"/>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kontrola dotyczy zasadności dokonania zwrotu podatku od towarów i usług na podstawie </w:t>
      </w:r>
      <w:r>
        <w:rPr>
          <w:rFonts w:ascii="Times New Roman"/>
          <w:b w:val="false"/>
          <w:i w:val="false"/>
          <w:color w:val="1b1b1b"/>
          <w:sz w:val="24"/>
          <w:lang w:val="pl-PL"/>
        </w:rPr>
        <w:t>przepisów</w:t>
      </w:r>
      <w:r>
        <w:rPr>
          <w:rFonts w:ascii="Times New Roman"/>
          <w:b w:val="false"/>
          <w:i w:val="false"/>
          <w:color w:val="000000"/>
          <w:sz w:val="24"/>
          <w:lang w:val="pl-PL"/>
        </w:rPr>
        <w:t xml:space="preserve"> o zwrocie osobom fizycznym niektórych wydatków poniesionych w związku z budową pierwszego własnego mieszkania;</w:t>
      </w:r>
    </w:p>
    <w:p>
      <w:pPr>
        <w:spacing w:before="26" w:after="0"/>
        <w:ind w:left="373"/>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xml:space="preserve"> kontrola jest kontrolą amerykańskich rachunków raportowanych uregulowaną w </w:t>
      </w:r>
      <w:r>
        <w:rPr>
          <w:rFonts w:ascii="Times New Roman"/>
          <w:b w:val="false"/>
          <w:i w:val="false"/>
          <w:color w:val="1b1b1b"/>
          <w:sz w:val="24"/>
          <w:lang w:val="pl-PL"/>
        </w:rPr>
        <w:t>ustawie</w:t>
      </w:r>
      <w:r>
        <w:rPr>
          <w:rFonts w:ascii="Times New Roman"/>
          <w:b w:val="false"/>
          <w:i w:val="false"/>
          <w:color w:val="000000"/>
          <w:sz w:val="24"/>
          <w:lang w:val="pl-PL"/>
        </w:rPr>
        <w:t xml:space="preserve"> z dnia 9 października 2015 r. o wykonywaniu Umowy między Rządem Rzeczypospolitej Polskiej a Rządem Stanów Zjednoczonych Ameryki w sprawie poprawy wypełniania międzynarodowych obowiązków podatkowych oraz wdrożenia ustawodawstwa FATCA.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Przedłużenie czasu trwania kontroli jest możliwe jedynie z przyczyn niezależnych od organu kontroli i wymaga uzasadnienia na piśmie. Uzasadnienie doręcza się przedsiębiorcy. Przedłużenie czasu trwania kontroli nie może naruszać terminów, o których mowa w </w:t>
      </w:r>
      <w:r>
        <w:rPr>
          <w:rFonts w:ascii="Times New Roman"/>
          <w:b w:val="false"/>
          <w:i w:val="false"/>
          <w:color w:val="1b1b1b"/>
          <w:sz w:val="24"/>
          <w:lang w:val="pl-PL"/>
        </w:rPr>
        <w:t>ust. 1</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Przedłużenie czasu trwania kontroli możliwe jest także, jeżeli w toku kontroli zostanie ujawnione zaniżenie zobowiązania podatkowego w wysokości przekraczającej równowartość 10% kwoty zadeklarowanego zobowiązania podatkowego, jednak nie niższej niż 500 złotych, lub zawyżenie straty w wysokości przekraczającej równowartość 50% kwoty zadeklarowanej straty, jednak nie niższej niż 2500 złotych, albo w przypadku ujawnienia faktu niezłożenia deklaracji pomimo takiego obowiązku.</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Organ kontroli zawiadamia przedsiębiorcę o ujawnionych okolicznościach, o których mowa w </w:t>
      </w:r>
      <w:r>
        <w:rPr>
          <w:rFonts w:ascii="Times New Roman"/>
          <w:b w:val="false"/>
          <w:i w:val="false"/>
          <w:color w:val="1b1b1b"/>
          <w:sz w:val="24"/>
          <w:lang w:val="pl-PL"/>
        </w:rPr>
        <w:t>ust. 4</w:t>
      </w:r>
      <w:r>
        <w:rPr>
          <w:rFonts w:ascii="Times New Roman"/>
          <w:b w:val="false"/>
          <w:i w:val="false"/>
          <w:color w:val="000000"/>
          <w:sz w:val="24"/>
          <w:lang w:val="pl-PL"/>
        </w:rPr>
        <w:t>, jednocześnie wskazując zgromadzony w tym zakresie materiał dowodowy. Uzasadnienie przedłużenia czasu trwania kontroli doręcza się przedsiębiorcy.</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Czas trwania kontroli, o której mowa w </w:t>
      </w:r>
      <w:r>
        <w:rPr>
          <w:rFonts w:ascii="Times New Roman"/>
          <w:b w:val="false"/>
          <w:i w:val="false"/>
          <w:color w:val="1b1b1b"/>
          <w:sz w:val="24"/>
          <w:lang w:val="pl-PL"/>
        </w:rPr>
        <w:t>ust. 4</w:t>
      </w:r>
      <w:r>
        <w:rPr>
          <w:rFonts w:ascii="Times New Roman"/>
          <w:b w:val="false"/>
          <w:i w:val="false"/>
          <w:color w:val="000000"/>
          <w:sz w:val="24"/>
          <w:lang w:val="pl-PL"/>
        </w:rPr>
        <w:t xml:space="preserve">, nie może spowodować przekroczenia odpowiednio dwukrotności czasu określonego w </w:t>
      </w:r>
      <w:r>
        <w:rPr>
          <w:rFonts w:ascii="Times New Roman"/>
          <w:b w:val="false"/>
          <w:i w:val="false"/>
          <w:color w:val="1b1b1b"/>
          <w:sz w:val="24"/>
          <w:lang w:val="pl-PL"/>
        </w:rPr>
        <w:t>ust. 1</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6a.</w:t>
      </w:r>
      <w:r>
        <w:rPr>
          <w:rFonts w:ascii="Times New Roman"/>
          <w:b w:val="false"/>
          <w:i w:val="false"/>
          <w:color w:val="000000"/>
          <w:sz w:val="24"/>
          <w:lang w:val="pl-PL"/>
        </w:rPr>
        <w:t xml:space="preserve"> Przedłużenie czasu trwania kontroli u mikroprzedsiębiorcy jest możliwe, jeżeli po zakończeniu przeprowadzania czynności kontrolnych w siedzibie przedsiębiorcy lub miejscu wykonywania działalności gospodarczej pozostały do przeprowadzenia jedynie czynności kontrolne związane z gromadzeniem i analizą dokumentów związanych z przedmiotem kontroli oraz sporządzenie protokołu kontroli. Czynności te mogą być przeprowadzane w siedzibie organu kontroli lub w sposób zdalny, o którym mowa w </w:t>
      </w:r>
      <w:r>
        <w:rPr>
          <w:rFonts w:ascii="Times New Roman"/>
          <w:b w:val="false"/>
          <w:i w:val="false"/>
          <w:color w:val="1b1b1b"/>
          <w:sz w:val="24"/>
          <w:lang w:val="pl-PL"/>
        </w:rPr>
        <w:t>art. 51 ust. 3a</w:t>
      </w:r>
      <w:r>
        <w:rPr>
          <w:rFonts w:ascii="Times New Roman"/>
          <w:b w:val="false"/>
          <w:i w:val="false"/>
          <w:color w:val="000000"/>
          <w:sz w:val="24"/>
          <w:lang w:val="pl-PL"/>
        </w:rPr>
        <w:t xml:space="preserve">, bez zgody przedsiębiorcy. Przedłużenie to nie może spowodować przekroczenia dwukrotności czasu określonego w </w:t>
      </w:r>
      <w:r>
        <w:rPr>
          <w:rFonts w:ascii="Times New Roman"/>
          <w:b w:val="false"/>
          <w:i w:val="false"/>
          <w:color w:val="1b1b1b"/>
          <w:sz w:val="24"/>
          <w:lang w:val="pl-PL"/>
        </w:rPr>
        <w:t>ust. 1 pkt 1</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Jeżeli wyniki kontroli wykazały rażące naruszenie przepisów prawa przez przedsiębiorcę, można przeprowadzić powtórną kontrolę w tym samym zakresie przedmiotowym w danym roku kalendarzowym, a czas jej trwania nie może przekraczać 7 dni. Czasu trwania powtórnej kontroli nie wlicza się do czasu, o którym mowa w </w:t>
      </w:r>
      <w:r>
        <w:rPr>
          <w:rFonts w:ascii="Times New Roman"/>
          <w:b w:val="false"/>
          <w:i w:val="false"/>
          <w:color w:val="1b1b1b"/>
          <w:sz w:val="24"/>
          <w:lang w:val="pl-PL"/>
        </w:rPr>
        <w:t>ust. 1</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55a. </w:t>
      </w:r>
      <w:r>
        <w:rPr>
          <w:rFonts w:ascii="Times New Roman"/>
          <w:b/>
          <w:i w:val="false"/>
          <w:color w:val="000000"/>
          <w:sz w:val="24"/>
          <w:vertAlign w:val="superscript"/>
          <w:lang w:val="pl-PL"/>
        </w:rPr>
        <w:t>10</w:t>
      </w:r>
      <w:r>
        <w:rPr>
          <w:rFonts w:ascii="Times New Roman"/>
          <w:b/>
          <w:i w:val="false"/>
          <w:color w:val="000000"/>
          <w:sz w:val="24"/>
          <w:lang w:val="pl-PL"/>
        </w:rPr>
        <w:t xml:space="preserve"> </w:t>
      </w:r>
      <w:r>
        <w:rPr>
          <w:rFonts w:ascii="Times New Roman"/>
          <w:b/>
          <w:i w:val="false"/>
          <w:color w:val="000000"/>
          <w:sz w:val="24"/>
          <w:lang w:val="pl-PL"/>
        </w:rPr>
        <w:t xml:space="preserve"> [Ograniczenie częstotliwości kontroli planowych]</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Organ kontroli może przeprowadzić kontrolę planową przedsiębiorcy, który został przypisany do jednej z kategorii ryzyka, o których mowa w </w:t>
      </w:r>
      <w:r>
        <w:rPr>
          <w:rFonts w:ascii="Times New Roman"/>
          <w:b w:val="false"/>
          <w:i w:val="false"/>
          <w:color w:val="1b1b1b"/>
          <w:sz w:val="24"/>
          <w:lang w:val="pl-PL"/>
        </w:rPr>
        <w:t>art. 47 ust. 1</w:t>
      </w:r>
      <w:r>
        <w:rPr>
          <w:rFonts w:ascii="Times New Roman"/>
          <w:b w:val="false"/>
          <w:i w:val="false"/>
          <w:color w:val="000000"/>
          <w:sz w:val="24"/>
          <w:lang w:val="pl-PL"/>
        </w:rPr>
        <w:t>, w przypadku:</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niskiego ryzyka - nie częściej niż raz w ciągu 5 lat;</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średniego ryzyka - nie częściej niż raz w ciągu 3 lat;</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wysokiego ryzyka - tak często, jak to jest konieczne dla zapewnienia skutecznego stosowania odpowiednich przepisów, z uwzględnieniem wysokiego ryzyka wystąpienia nieprawidłowości oraz środków niezbędnych do jego ograniczania.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Przepisu </w:t>
      </w:r>
      <w:r>
        <w:rPr>
          <w:rFonts w:ascii="Times New Roman"/>
          <w:b w:val="false"/>
          <w:i w:val="false"/>
          <w:color w:val="1b1b1b"/>
          <w:sz w:val="24"/>
          <w:lang w:val="pl-PL"/>
        </w:rPr>
        <w:t>ust. 1</w:t>
      </w:r>
      <w:r>
        <w:rPr>
          <w:rFonts w:ascii="Times New Roman"/>
          <w:b w:val="false"/>
          <w:i w:val="false"/>
          <w:color w:val="000000"/>
          <w:sz w:val="24"/>
          <w:lang w:val="pl-PL"/>
        </w:rPr>
        <w:t xml:space="preserve"> nie stosuje się w przypadkach, gdy ratyfikowane umowy międzynarodowe albo bezpośrednio stosowane przepisy prawa Unii Europejskiej, albo przepisy odrębne określają inaczej częstotliwość przeprowadzania kontroli.</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Przepisu </w:t>
      </w:r>
      <w:r>
        <w:rPr>
          <w:rFonts w:ascii="Times New Roman"/>
          <w:b w:val="false"/>
          <w:i w:val="false"/>
          <w:color w:val="1b1b1b"/>
          <w:sz w:val="24"/>
          <w:lang w:val="pl-PL"/>
        </w:rPr>
        <w:t>ust. 1</w:t>
      </w:r>
      <w:r>
        <w:rPr>
          <w:rFonts w:ascii="Times New Roman"/>
          <w:b w:val="false"/>
          <w:i w:val="false"/>
          <w:color w:val="000000"/>
          <w:sz w:val="24"/>
          <w:lang w:val="pl-PL"/>
        </w:rPr>
        <w:t xml:space="preserve"> nie stosuje się do:</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kontroli i analiz będących we właściwości organów Krajowej Administracji Skarbowej;</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kontroli prowadzonych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25 sierpnia 2006 r. o systemie monitorowania i kontrolowania jakości paliw.</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Jeżeli przedsiębiorca wykonuje działalność gospodarczą w więcej niż jednym zakładzie lub innej wyodrębnionej części przedsiębiorstwa, przepis </w:t>
      </w:r>
      <w:r>
        <w:rPr>
          <w:rFonts w:ascii="Times New Roman"/>
          <w:b w:val="false"/>
          <w:i w:val="false"/>
          <w:color w:val="1b1b1b"/>
          <w:sz w:val="24"/>
          <w:lang w:val="pl-PL"/>
        </w:rPr>
        <w:t>ust. 1</w:t>
      </w:r>
      <w:r>
        <w:rPr>
          <w:rFonts w:ascii="Times New Roman"/>
          <w:b w:val="false"/>
          <w:i w:val="false"/>
          <w:color w:val="000000"/>
          <w:sz w:val="24"/>
          <w:lang w:val="pl-PL"/>
        </w:rPr>
        <w:t xml:space="preserve"> stosuje się do zakładu lub części przedsiębiorstwa.</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Przepisu </w:t>
      </w:r>
      <w:r>
        <w:rPr>
          <w:rFonts w:ascii="Times New Roman"/>
          <w:b w:val="false"/>
          <w:i w:val="false"/>
          <w:color w:val="1b1b1b"/>
          <w:sz w:val="24"/>
          <w:lang w:val="pl-PL"/>
        </w:rPr>
        <w:t>ust. 4</w:t>
      </w:r>
      <w:r>
        <w:rPr>
          <w:rFonts w:ascii="Times New Roman"/>
          <w:b w:val="false"/>
          <w:i w:val="false"/>
          <w:color w:val="000000"/>
          <w:sz w:val="24"/>
          <w:lang w:val="pl-PL"/>
        </w:rPr>
        <w:t xml:space="preserve"> nie stosuje się do kontroli działalności gospodarczej mikroprzedsiębiorców oraz małych przedsiębiorców.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w:t>
      </w:r>
      <w:r>
        <w:rPr>
          <w:rFonts w:ascii="Times New Roman"/>
          <w:b/>
          <w:i w:val="false"/>
          <w:color w:val="000000"/>
          <w:sz w:val="24"/>
          <w:lang w:val="pl-PL"/>
        </w:rPr>
        <w:t xml:space="preserve"> [Przerwanie kontroli]</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Organ kontroli może, po pisemnym zawiadomieniu przedsiębiorcy, przerwać kontrolę na czas niezbędny do przeprowadzenia badań próbki produktu lub próbki kontrolnej, jeżeli jedyną czynnością kontrolną po otrzymaniu wyniku badania próbki będzie sporządzenie protokołu kontroli. Czasu przerwy nie wlicza się do czasu, o którym mowa w </w:t>
      </w:r>
      <w:r>
        <w:rPr>
          <w:rFonts w:ascii="Times New Roman"/>
          <w:b w:val="false"/>
          <w:i w:val="false"/>
          <w:color w:val="1b1b1b"/>
          <w:sz w:val="24"/>
          <w:lang w:val="pl-PL"/>
        </w:rPr>
        <w:t>art. 55 ust. 1</w:t>
      </w:r>
      <w:r>
        <w:rPr>
          <w:rFonts w:ascii="Times New Roman"/>
          <w:b w:val="false"/>
          <w:i w:val="false"/>
          <w:color w:val="000000"/>
          <w:sz w:val="24"/>
          <w:lang w:val="pl-PL"/>
        </w:rPr>
        <w:t>, o ile podczas przerwy przedsiębiorca miał możliwość wykonywania działalności gospodarczej oraz miał nieograniczony dostęp do prowadzonej przez siebie dokumentacji i posiadanych rzeczy, z wyjątkiem zabezpieczonej w celu kontroli próbki.</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przypadku, o którym mowa w </w:t>
      </w:r>
      <w:r>
        <w:rPr>
          <w:rFonts w:ascii="Times New Roman"/>
          <w:b w:val="false"/>
          <w:i w:val="false"/>
          <w:color w:val="1b1b1b"/>
          <w:sz w:val="24"/>
          <w:lang w:val="pl-PL"/>
        </w:rPr>
        <w:t>ust. 1</w:t>
      </w:r>
      <w:r>
        <w:rPr>
          <w:rFonts w:ascii="Times New Roman"/>
          <w:b w:val="false"/>
          <w:i w:val="false"/>
          <w:color w:val="000000"/>
          <w:sz w:val="24"/>
          <w:lang w:val="pl-PL"/>
        </w:rPr>
        <w:t>, doręczenie przedsiębiorcy protokołu kontroli nie wymaga ponownego wszczęcia kontroli, a dnia, w którym doręczono przedsiębiorcy protokół kontroli, nie wlicza się do czasu trwania kontroli. Dopuszcza się doręczenie protokołu kontroli w trakcie trwania kontroli innego organu.</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Uzasadnienie czasu trwania przerwy doręcza się przedsiębiorcy.</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Przerwa, o której mowa w </w:t>
      </w:r>
      <w:r>
        <w:rPr>
          <w:rFonts w:ascii="Times New Roman"/>
          <w:b w:val="false"/>
          <w:i w:val="false"/>
          <w:color w:val="1b1b1b"/>
          <w:sz w:val="24"/>
          <w:lang w:val="pl-PL"/>
        </w:rPr>
        <w:t>ust. 1</w:t>
      </w:r>
      <w:r>
        <w:rPr>
          <w:rFonts w:ascii="Times New Roman"/>
          <w:b w:val="false"/>
          <w:i w:val="false"/>
          <w:color w:val="000000"/>
          <w:sz w:val="24"/>
          <w:lang w:val="pl-PL"/>
        </w:rPr>
        <w:t>, nie stanowi przeszkody do przeprowadzenia w czasie jej trwania kontroli przez inny organ kontroli.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w:t>
      </w:r>
      <w:r>
        <w:rPr>
          <w:rFonts w:ascii="Times New Roman"/>
          <w:b/>
          <w:i w:val="false"/>
          <w:color w:val="000000"/>
          <w:sz w:val="24"/>
          <w:lang w:val="pl-PL"/>
        </w:rPr>
        <w:t xml:space="preserve"> [Książka kontroli przedsiębiorcy]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Przedsiębiorca prowadzi i przechowuje w swojej siedzibie książkę kontroli oraz upoważnienia i protokoły kontroli.</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Książka kontroli zawiera wpisy obejmujące: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oznaczenie organu kontroli;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oznaczenie upoważnienia do kontroli;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zakres przedmiotowy przeprowadzonej kontroli;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daty podjęcia i zakończenia kontroli.</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Przedsiębiorca prowadzi książkę kontroli w postaci: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papierowej, w tym również w formie zbioru dokumentów, lub</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elektronicznej.</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Wpisów w książce kontroli prowadzonej w postaci: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papierowej - dokonuje kontrolujący;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elektronicznej - dokonuje przedsiębiorca.</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Domniemywa się, że dane zawarte w książce kontroli prowadzonej w postaci elektronicznej znajdują potwierdzenie w dokumentach przechowywanych przez przedsiębiorcę.</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W przypadku wszczęcia kontroli przedsiębiorca niezwłocznie okazuje kontrolującemu książkę kontroli.</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Okazanie książki kontroli prowadzonej w postaci elektronicznej następuje przez zapewnienie dostępu przy użyciu urządzenia pozwalającego na zapoznanie się z jej treścią albo wykonanie wydruków z systemu informatycznego, w którym prowadzona jest książka kontroli, poświadczonych przez przedsiębiorcę za zgodność z wpisem w książce kontroli.</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Przedsiębiorca nie okazuje książki kontroli, jeżeli jej okazanie jest niemożliwe ze względu na udostępnienie jej innemu organowi kontroli. W takim przypadku przedsiębiorca okazuje książkę kontroli w siedzibie organu kontroli w terminie 3 dni roboczych od dnia zwrotu tej książki przez inny organ kontroli.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w:t>
      </w:r>
      <w:r>
        <w:rPr>
          <w:rFonts w:ascii="Times New Roman"/>
          <w:b/>
          <w:i w:val="false"/>
          <w:color w:val="000000"/>
          <w:sz w:val="24"/>
          <w:lang w:val="pl-PL"/>
        </w:rPr>
        <w:t xml:space="preserve"> [Wyłączenie możliwości przeprowadzenia ponownej kontroli przez ten sam organ]</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Organ kontroli nie przeprowadza kontroli, w przypadku gdy ma ona dotyczyć przedmiotu kontroli objętego uprzednio zakończoną kontrolą przeprowadzoną przez ten sam organ.</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Przepisu </w:t>
      </w:r>
      <w:r>
        <w:rPr>
          <w:rFonts w:ascii="Times New Roman"/>
          <w:b w:val="false"/>
          <w:i w:val="false"/>
          <w:color w:val="1b1b1b"/>
          <w:sz w:val="24"/>
          <w:lang w:val="pl-PL"/>
        </w:rPr>
        <w:t>ust. 1</w:t>
      </w:r>
      <w:r>
        <w:rPr>
          <w:rFonts w:ascii="Times New Roman"/>
          <w:b w:val="false"/>
          <w:i w:val="false"/>
          <w:color w:val="000000"/>
          <w:sz w:val="24"/>
          <w:lang w:val="pl-PL"/>
        </w:rPr>
        <w:t xml:space="preserve"> nie stosuje się w przypadku, gdy:</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kontrola ma dotyczyć okresu nieobjętego uprzednio zakończoną kontrolą;</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ponowna kontrola ma na celu przeciwdziałanie zagrożeniu życia lub zdrowia;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ponowna kontrola jest niezbędna do przeprowadzenia postępowania w sprawie stwierdzenia nieważności, stwierdzenia wygaśnięcia, uchylenia lub zmiany decyzji ostatecznej lub wznowienia postępowania w sprawie zakończonej decyzją ostateczną;</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ponowna kontrola jest niezbędna do przeprowadzenia postępowania w związku z uchyleniem lub stwierdzeniem nieważności decyzji przez sąd administracyjny;</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ponowna kontrola jest niezbędna do przeprowadzenia postępowania w celu sprawdzenia wykonania zaleceń pokontrolnych organu lub wykonania decyzji lub postanowień nakazujących usunięcie naruszeń prawa, w związku z przeprowadzoną kontrolą, albo do sprawdzenia wykonania wezwania, o którym mowa w </w:t>
      </w:r>
      <w:r>
        <w:rPr>
          <w:rFonts w:ascii="Times New Roman"/>
          <w:b w:val="false"/>
          <w:i w:val="false"/>
          <w:color w:val="1b1b1b"/>
          <w:sz w:val="24"/>
          <w:lang w:val="pl-PL"/>
        </w:rPr>
        <w:t>art. 21a ust. 1</w:t>
      </w:r>
      <w:r>
        <w:rPr>
          <w:rFonts w:ascii="Times New Roman"/>
          <w:b w:val="false"/>
          <w:i w:val="false"/>
          <w:color w:val="000000"/>
          <w:sz w:val="24"/>
          <w:lang w:val="pl-PL"/>
        </w:rPr>
        <w:t xml:space="preserve">, zobowiązania, o którym mowa w </w:t>
      </w:r>
      <w:r>
        <w:rPr>
          <w:rFonts w:ascii="Times New Roman"/>
          <w:b w:val="false"/>
          <w:i w:val="false"/>
          <w:color w:val="1b1b1b"/>
          <w:sz w:val="24"/>
          <w:lang w:val="pl-PL"/>
        </w:rPr>
        <w:t>art. 21a ust. 2</w:t>
      </w:r>
      <w:r>
        <w:rPr>
          <w:rFonts w:ascii="Times New Roman"/>
          <w:b w:val="false"/>
          <w:i w:val="false"/>
          <w:color w:val="000000"/>
          <w:sz w:val="24"/>
          <w:lang w:val="pl-PL"/>
        </w:rPr>
        <w:t xml:space="preserve">, lub weryfikacji powiadomienia, o którym mowa w </w:t>
      </w:r>
      <w:r>
        <w:rPr>
          <w:rFonts w:ascii="Times New Roman"/>
          <w:b w:val="false"/>
          <w:i w:val="false"/>
          <w:color w:val="1b1b1b"/>
          <w:sz w:val="24"/>
          <w:lang w:val="pl-PL"/>
        </w:rPr>
        <w:t>art. 21a ust. 5</w:t>
      </w:r>
      <w:r>
        <w:rPr>
          <w:rFonts w:ascii="Times New Roman"/>
          <w:b w:val="false"/>
          <w:i w:val="false"/>
          <w:color w:val="000000"/>
          <w:sz w:val="24"/>
          <w:lang w:val="pl-PL"/>
        </w:rPr>
        <w:t xml:space="preserve"> lub </w:t>
      </w:r>
      <w:r>
        <w:rPr>
          <w:rFonts w:ascii="Times New Roman"/>
          <w:b w:val="false"/>
          <w:i w:val="false"/>
          <w:color w:val="1b1b1b"/>
          <w:sz w:val="24"/>
          <w:lang w:val="pl-PL"/>
        </w:rPr>
        <w:t>6</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ponowna kontrola jest niezbędna do przeprowadzenia postępowania związanego ze złożeniem korekty rozliczenia objętego uprzednio zakończoną kontrolą;</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organ kontroli poweźmie uzasadnione podejrzenie, że uprzednio zakończona kontrola została przeprowadzona z naruszeniem prawa mającym wpływ na wynik kontroli lub dowody, na których podstawie ustalono istotne dla sprawy okoliczności faktyczne, okazały się fałszywe lub protokół kontroli został sporządzony w wyniku przestępstwa;</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po sporządzeniu protokołu kontroli z poprzedniej kontroli wyszły na jaw istotne dla sprawy nowe okoliczności faktyczne lub nowe dowody nieznane organowi administracji lub państwowej jednostce organizacyjnej w chwili przeprowadzenia kontroli, w tym wskazujące na wystąpienie nadużycia prawa, o którym mowa w </w:t>
      </w:r>
      <w:r>
        <w:rPr>
          <w:rFonts w:ascii="Times New Roman"/>
          <w:b w:val="false"/>
          <w:i w:val="false"/>
          <w:color w:val="1b1b1b"/>
          <w:sz w:val="24"/>
          <w:lang w:val="pl-PL"/>
        </w:rPr>
        <w:t>art. 5 ust. 5</w:t>
      </w:r>
      <w:r>
        <w:rPr>
          <w:rFonts w:ascii="Times New Roman"/>
          <w:b w:val="false"/>
          <w:i w:val="false"/>
          <w:color w:val="000000"/>
          <w:sz w:val="24"/>
          <w:lang w:val="pl-PL"/>
        </w:rPr>
        <w:t xml:space="preserve"> ustawy z dnia 11 marca 2004 r. o podatku od towarów i usług;</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przedsiębiorca prowadzi działalność w zakresie objętym nadzorem, o którym mowa w </w:t>
      </w:r>
      <w:r>
        <w:rPr>
          <w:rFonts w:ascii="Times New Roman"/>
          <w:b w:val="false"/>
          <w:i w:val="false"/>
          <w:color w:val="1b1b1b"/>
          <w:sz w:val="24"/>
          <w:lang w:val="pl-PL"/>
        </w:rPr>
        <w:t>art. 1 ust. 2</w:t>
      </w:r>
      <w:r>
        <w:rPr>
          <w:rFonts w:ascii="Times New Roman"/>
          <w:b w:val="false"/>
          <w:i w:val="false"/>
          <w:color w:val="000000"/>
          <w:sz w:val="24"/>
          <w:lang w:val="pl-PL"/>
        </w:rPr>
        <w:t xml:space="preserve"> ustawy z dnia 21 lipca 2006 r. o nadzorze nad rynkiem finansowym.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w:t>
      </w:r>
      <w:r>
        <w:rPr>
          <w:rFonts w:ascii="Times New Roman"/>
          <w:b/>
          <w:i w:val="false"/>
          <w:color w:val="000000"/>
          <w:sz w:val="24"/>
          <w:lang w:val="pl-PL"/>
        </w:rPr>
        <w:t xml:space="preserve"> [Sprzeciw od czynności kontrolnych przedsiębiorcy; Skarga na przewlekłe prowadzenie kontroli działalności gospodarczej]</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Przedsiębiorca może wnieść sprzeciw wobec podjęcia i wykonywania przez organ kontroli czynności z naruszeniem przepisów art. 48 ust. 1-11, art. 49, art. 50 ust. 1 i 5, art. 51 ust. 1, art. 54 ust. 1, art. 55 ust. 1 i 2, art. 55a oraz art. 58. Sprzeciw wymaga uzasadnienia.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Sprzeciw przedsiębiorca wnosi na piśmie do organu kontroli, którego czynności sprzeciw dotyczy. O wniesieniu sprzeciwu przedsiębiorca zawiadamia na piśmie kontrolującego.</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Sprzeciw wnosi się w terminie 3 dni roboczych od dnia wszczęcia kontroli przez organ kontroli lub wystąpienia przesłanki do wniesienia sprzeciwu.</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Wniesienie sprzeciwu powoduje wstrzymanie: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czynności kontrolnych przez organ kontroli, którego czynności sprzeciw dotyczy - z chwilą doręczenia kontrolującemu zawiadomienia o wniesieniu sprzeciwu;</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biegu czasu trwania kontroli - od dnia wniesienia sprzeciwu do dnia zakończenia postępowania wywołanego jego wniesieniem.</w:t>
      </w:r>
    </w:p>
    <w:p>
      <w:pPr>
        <w:spacing w:before="26" w:after="0"/>
        <w:ind w:left="0"/>
        <w:jc w:val="left"/>
        <w:textAlignment w:val="auto"/>
      </w:pPr>
      <w:r>
        <w:rPr>
          <w:rFonts w:ascii="Times New Roman"/>
          <w:b w:val="false"/>
          <w:i w:val="false"/>
          <w:color w:val="000000"/>
          <w:sz w:val="24"/>
          <w:lang w:val="pl-PL"/>
        </w:rPr>
        <w:t>5a.</w:t>
      </w:r>
      <w:r>
        <w:rPr>
          <w:rFonts w:ascii="Times New Roman"/>
          <w:b w:val="false"/>
          <w:i w:val="false"/>
          <w:color w:val="000000"/>
          <w:sz w:val="24"/>
          <w:lang w:val="pl-PL"/>
        </w:rPr>
        <w:t> Wniesienie sprzeciwu nie powoduje wstrzymania czynności kontrolnych w przypadku, gdy organ kontroli prowadzi kontrolę, powołując się na przepisy art. 48 ust. 11 pkt 2, art. 50 ust. 2 pkt 2, art. 54 ust. 1 pkt 2, art. 55 ust. 2 pkt 2 oraz art. 62.</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W przypadku wniesienia sprzeciwu organ kontroli może, w drodze postanowienia, dokonać zabezpieczenia dowodów mających związek z przedmiotem i zakresem kontroli, na czas rozpatrzenia sprzeciwu. Zabezpieczeniu podlegają dokumenty, informacje, próbki wyrobów oraz inne nośniki informacji, jeżeli stanowią lub mogą stanowić dowód w toku kontroli.</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Organ kontroli w terminie 3 dni roboczych od dnia otrzymania sprzeciwu rozpatruje sprzeciw oraz wydaje postanowienie o:</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odstąpieniu od czynności kontrolnych;</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kontynuowaniu czynności kontrolnych.</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Nierozpatrzenie sprzeciwu w terminie, o którym mowa w </w:t>
      </w:r>
      <w:r>
        <w:rPr>
          <w:rFonts w:ascii="Times New Roman"/>
          <w:b w:val="false"/>
          <w:i w:val="false"/>
          <w:color w:val="1b1b1b"/>
          <w:sz w:val="24"/>
          <w:lang w:val="pl-PL"/>
        </w:rPr>
        <w:t>ust. 7</w:t>
      </w:r>
      <w:r>
        <w:rPr>
          <w:rFonts w:ascii="Times New Roman"/>
          <w:b w:val="false"/>
          <w:i w:val="false"/>
          <w:color w:val="000000"/>
          <w:sz w:val="24"/>
          <w:lang w:val="pl-PL"/>
        </w:rPr>
        <w:t>, jest równoznaczne w skutkach z wydaniem przez organ właściwy postanowienia o odstąpieniu od czynności kontrolnych.</w:t>
      </w:r>
    </w:p>
    <w:p>
      <w:pPr>
        <w:spacing w:before="26" w:after="0"/>
        <w:ind w:left="0"/>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Na postanowienie, o którym mowa w </w:t>
      </w:r>
      <w:r>
        <w:rPr>
          <w:rFonts w:ascii="Times New Roman"/>
          <w:b w:val="false"/>
          <w:i w:val="false"/>
          <w:color w:val="1b1b1b"/>
          <w:sz w:val="24"/>
          <w:lang w:val="pl-PL"/>
        </w:rPr>
        <w:t>ust. 7 pkt 2</w:t>
      </w:r>
      <w:r>
        <w:rPr>
          <w:rFonts w:ascii="Times New Roman"/>
          <w:b w:val="false"/>
          <w:i w:val="false"/>
          <w:color w:val="000000"/>
          <w:sz w:val="24"/>
          <w:lang w:val="pl-PL"/>
        </w:rPr>
        <w:t>, przedsiębiorcy przysługuje zażalenie w terminie 3 dni od dnia doręczenia postanowienia. Właściwy organ rozpatruje zażalenie w terminie 7 dni od dnia jego wniesienia oraz wydaje postanowienie o:</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utrzymaniu w mocy zaskarżonego postanowienia;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uchyleniu zaskarżonego postanowienia i odstąpieniu od czynności kontrolnych.</w:t>
      </w:r>
    </w:p>
    <w:p>
      <w:pPr>
        <w:spacing w:before="26" w:after="0"/>
        <w:ind w:left="0"/>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Nierozpatrzenie zażalenia w terminie, o którym mowa w </w:t>
      </w:r>
      <w:r>
        <w:rPr>
          <w:rFonts w:ascii="Times New Roman"/>
          <w:b w:val="false"/>
          <w:i w:val="false"/>
          <w:color w:val="1b1b1b"/>
          <w:sz w:val="24"/>
          <w:lang w:val="pl-PL"/>
        </w:rPr>
        <w:t>ust. 9</w:t>
      </w:r>
      <w:r>
        <w:rPr>
          <w:rFonts w:ascii="Times New Roman"/>
          <w:b w:val="false"/>
          <w:i w:val="false"/>
          <w:color w:val="000000"/>
          <w:sz w:val="24"/>
          <w:lang w:val="pl-PL"/>
        </w:rPr>
        <w:t>, jest równoznaczne w skutkach z wydaniem postanowienia o uchyleniu zaskarżonego postanowienia i odstąpieniu od czynności kontrolnych.</w:t>
      </w:r>
    </w:p>
    <w:p>
      <w:pPr>
        <w:spacing w:before="26" w:after="0"/>
        <w:ind w:left="0"/>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xml:space="preserve"> Organ kontroli może kontynuować czynności kontrolne z dniem, w którym postanowienie, o którym mowa w </w:t>
      </w:r>
      <w:r>
        <w:rPr>
          <w:rFonts w:ascii="Times New Roman"/>
          <w:b w:val="false"/>
          <w:i w:val="false"/>
          <w:color w:val="1b1b1b"/>
          <w:sz w:val="24"/>
          <w:lang w:val="pl-PL"/>
        </w:rPr>
        <w:t>ust. 7 pkt 2</w:t>
      </w:r>
      <w:r>
        <w:rPr>
          <w:rFonts w:ascii="Times New Roman"/>
          <w:b w:val="false"/>
          <w:i w:val="false"/>
          <w:color w:val="000000"/>
          <w:sz w:val="24"/>
          <w:lang w:val="pl-PL"/>
        </w:rPr>
        <w:t xml:space="preserve">, stało się ostateczne, a w przypadku wniesienia przez przedsiębiorcę zażalenia - z dniem, w którym postanowienie, o którym mowa w </w:t>
      </w:r>
      <w:r>
        <w:rPr>
          <w:rFonts w:ascii="Times New Roman"/>
          <w:b w:val="false"/>
          <w:i w:val="false"/>
          <w:color w:val="1b1b1b"/>
          <w:sz w:val="24"/>
          <w:lang w:val="pl-PL"/>
        </w:rPr>
        <w:t>ust. 9 pkt 1</w:t>
      </w:r>
      <w:r>
        <w:rPr>
          <w:rFonts w:ascii="Times New Roman"/>
          <w:b w:val="false"/>
          <w:i w:val="false"/>
          <w:color w:val="000000"/>
          <w:sz w:val="24"/>
          <w:lang w:val="pl-PL"/>
        </w:rPr>
        <w:t>, zostało doręczone przedsiębiorcy.</w:t>
      </w:r>
    </w:p>
    <w:p>
      <w:pPr>
        <w:spacing w:before="26" w:after="0"/>
        <w:ind w:left="0"/>
        <w:jc w:val="left"/>
        <w:textAlignment w:val="auto"/>
      </w:pPr>
      <w:r>
        <w:rPr>
          <w:rFonts w:ascii="Times New Roman"/>
          <w:b w:val="false"/>
          <w:i w:val="false"/>
          <w:color w:val="000000"/>
          <w:sz w:val="24"/>
          <w:lang w:val="pl-PL"/>
        </w:rPr>
        <w:t>12.</w:t>
      </w:r>
      <w:r>
        <w:rPr>
          <w:rFonts w:ascii="Times New Roman"/>
          <w:b w:val="false"/>
          <w:i w:val="false"/>
          <w:color w:val="000000"/>
          <w:sz w:val="24"/>
          <w:lang w:val="pl-PL"/>
        </w:rPr>
        <w:t xml:space="preserve"> Postanowienie, o którym mowa w </w:t>
      </w:r>
      <w:r>
        <w:rPr>
          <w:rFonts w:ascii="Times New Roman"/>
          <w:b w:val="false"/>
          <w:i w:val="false"/>
          <w:color w:val="1b1b1b"/>
          <w:sz w:val="24"/>
          <w:lang w:val="pl-PL"/>
        </w:rPr>
        <w:t>ust. 6</w:t>
      </w:r>
      <w:r>
        <w:rPr>
          <w:rFonts w:ascii="Times New Roman"/>
          <w:b w:val="false"/>
          <w:i w:val="false"/>
          <w:color w:val="000000"/>
          <w:sz w:val="24"/>
          <w:lang w:val="pl-PL"/>
        </w:rPr>
        <w:t xml:space="preserve">, wygasa w dniu następującym po dniu doręczenia przedsiębiorcy postanowienia, o którym mowa w </w:t>
      </w:r>
      <w:r>
        <w:rPr>
          <w:rFonts w:ascii="Times New Roman"/>
          <w:b w:val="false"/>
          <w:i w:val="false"/>
          <w:color w:val="1b1b1b"/>
          <w:sz w:val="24"/>
          <w:lang w:val="pl-PL"/>
        </w:rPr>
        <w:t>ust. 7</w:t>
      </w:r>
      <w:r>
        <w:rPr>
          <w:rFonts w:ascii="Times New Roman"/>
          <w:b w:val="false"/>
          <w:i w:val="false"/>
          <w:color w:val="000000"/>
          <w:sz w:val="24"/>
          <w:lang w:val="pl-PL"/>
        </w:rPr>
        <w:t xml:space="preserve">, a w przypadku, o którym mowa w </w:t>
      </w:r>
      <w:r>
        <w:rPr>
          <w:rFonts w:ascii="Times New Roman"/>
          <w:b w:val="false"/>
          <w:i w:val="false"/>
          <w:color w:val="1b1b1b"/>
          <w:sz w:val="24"/>
          <w:lang w:val="pl-PL"/>
        </w:rPr>
        <w:t>ust. 8</w:t>
      </w:r>
      <w:r>
        <w:rPr>
          <w:rFonts w:ascii="Times New Roman"/>
          <w:b w:val="false"/>
          <w:i w:val="false"/>
          <w:color w:val="000000"/>
          <w:sz w:val="24"/>
          <w:lang w:val="pl-PL"/>
        </w:rPr>
        <w:t>, w dniu następującym po dniu upływu terminu do rozpatrzenia sprzeciwu.</w:t>
      </w:r>
    </w:p>
    <w:p>
      <w:pPr>
        <w:spacing w:before="26" w:after="0"/>
        <w:ind w:left="0"/>
        <w:jc w:val="left"/>
        <w:textAlignment w:val="auto"/>
      </w:pPr>
      <w:r>
        <w:rPr>
          <w:rFonts w:ascii="Times New Roman"/>
          <w:b w:val="false"/>
          <w:i w:val="false"/>
          <w:color w:val="000000"/>
          <w:sz w:val="24"/>
          <w:lang w:val="pl-PL"/>
        </w:rPr>
        <w:t>13.</w:t>
      </w:r>
      <w:r>
        <w:rPr>
          <w:rFonts w:ascii="Times New Roman"/>
          <w:b w:val="false"/>
          <w:i w:val="false"/>
          <w:color w:val="000000"/>
          <w:sz w:val="24"/>
          <w:lang w:val="pl-PL"/>
        </w:rPr>
        <w:t xml:space="preserve"> W przypadku wniesienia przez przedsiębiorcę zażalenia, postanowienie, o którym mowa w </w:t>
      </w:r>
      <w:r>
        <w:rPr>
          <w:rFonts w:ascii="Times New Roman"/>
          <w:b w:val="false"/>
          <w:i w:val="false"/>
          <w:color w:val="1b1b1b"/>
          <w:sz w:val="24"/>
          <w:lang w:val="pl-PL"/>
        </w:rPr>
        <w:t>ust. 6</w:t>
      </w:r>
      <w:r>
        <w:rPr>
          <w:rFonts w:ascii="Times New Roman"/>
          <w:b w:val="false"/>
          <w:i w:val="false"/>
          <w:color w:val="000000"/>
          <w:sz w:val="24"/>
          <w:lang w:val="pl-PL"/>
        </w:rPr>
        <w:t xml:space="preserve">, wygasa w dniu następującym po dniu doręczenia przedsiębiorcy postanowienia, o którym mowa w </w:t>
      </w:r>
      <w:r>
        <w:rPr>
          <w:rFonts w:ascii="Times New Roman"/>
          <w:b w:val="false"/>
          <w:i w:val="false"/>
          <w:color w:val="1b1b1b"/>
          <w:sz w:val="24"/>
          <w:lang w:val="pl-PL"/>
        </w:rPr>
        <w:t>ust. 9 pkt 1</w:t>
      </w:r>
      <w:r>
        <w:rPr>
          <w:rFonts w:ascii="Times New Roman"/>
          <w:b w:val="false"/>
          <w:i w:val="false"/>
          <w:color w:val="000000"/>
          <w:sz w:val="24"/>
          <w:lang w:val="pl-PL"/>
        </w:rPr>
        <w:t xml:space="preserve"> lub </w:t>
      </w:r>
      <w:r>
        <w:rPr>
          <w:rFonts w:ascii="Times New Roman"/>
          <w:b w:val="false"/>
          <w:i w:val="false"/>
          <w:color w:val="1b1b1b"/>
          <w:sz w:val="24"/>
          <w:lang w:val="pl-PL"/>
        </w:rPr>
        <w:t>2</w:t>
      </w:r>
      <w:r>
        <w:rPr>
          <w:rFonts w:ascii="Times New Roman"/>
          <w:b w:val="false"/>
          <w:i w:val="false"/>
          <w:color w:val="000000"/>
          <w:sz w:val="24"/>
          <w:lang w:val="pl-PL"/>
        </w:rPr>
        <w:t xml:space="preserve">, a w przypadku, o którym mowa w </w:t>
      </w:r>
      <w:r>
        <w:rPr>
          <w:rFonts w:ascii="Times New Roman"/>
          <w:b w:val="false"/>
          <w:i w:val="false"/>
          <w:color w:val="1b1b1b"/>
          <w:sz w:val="24"/>
          <w:lang w:val="pl-PL"/>
        </w:rPr>
        <w:t>ust. 10</w:t>
      </w:r>
      <w:r>
        <w:rPr>
          <w:rFonts w:ascii="Times New Roman"/>
          <w:b w:val="false"/>
          <w:i w:val="false"/>
          <w:color w:val="000000"/>
          <w:sz w:val="24"/>
          <w:lang w:val="pl-PL"/>
        </w:rPr>
        <w:t>, w dniu następującym po dniu upływu terminu do rozpatrzenia zażalenia.</w:t>
      </w:r>
    </w:p>
    <w:p>
      <w:pPr>
        <w:spacing w:before="26" w:after="0"/>
        <w:ind w:left="0"/>
        <w:jc w:val="left"/>
        <w:textAlignment w:val="auto"/>
      </w:pPr>
      <w:r>
        <w:rPr>
          <w:rFonts w:ascii="Times New Roman"/>
          <w:b w:val="false"/>
          <w:i w:val="false"/>
          <w:color w:val="000000"/>
          <w:sz w:val="24"/>
          <w:lang w:val="pl-PL"/>
        </w:rPr>
        <w:t>14.</w:t>
      </w:r>
      <w:r>
        <w:rPr>
          <w:rFonts w:ascii="Times New Roman"/>
          <w:b w:val="false"/>
          <w:i w:val="false"/>
          <w:color w:val="000000"/>
          <w:sz w:val="24"/>
          <w:lang w:val="pl-PL"/>
        </w:rPr>
        <w:t xml:space="preserve"> W razie przewlekłości czynności kontrolnych, po wydaniu postanowienia, o którym mowa w </w:t>
      </w:r>
      <w:r>
        <w:rPr>
          <w:rFonts w:ascii="Times New Roman"/>
          <w:b w:val="false"/>
          <w:i w:val="false"/>
          <w:color w:val="1b1b1b"/>
          <w:sz w:val="24"/>
          <w:lang w:val="pl-PL"/>
        </w:rPr>
        <w:t>ust. 9 pkt 1</w:t>
      </w:r>
      <w:r>
        <w:rPr>
          <w:rFonts w:ascii="Times New Roman"/>
          <w:b w:val="false"/>
          <w:i w:val="false"/>
          <w:color w:val="000000"/>
          <w:sz w:val="24"/>
          <w:lang w:val="pl-PL"/>
        </w:rPr>
        <w:t>, przedsiębiorca może wnieść do sądu administracyjnego skargę na przewlekłe prowadzenie kontroli. Wniesienie skargi nie powoduje wstrzymania czynności kontrolnych.</w:t>
      </w:r>
    </w:p>
    <w:p>
      <w:pPr>
        <w:spacing w:before="26" w:after="0"/>
        <w:ind w:left="0"/>
        <w:jc w:val="left"/>
        <w:textAlignment w:val="auto"/>
      </w:pPr>
      <w:r>
        <w:rPr>
          <w:rFonts w:ascii="Times New Roman"/>
          <w:b w:val="false"/>
          <w:i w:val="false"/>
          <w:color w:val="000000"/>
          <w:sz w:val="24"/>
          <w:lang w:val="pl-PL"/>
        </w:rPr>
        <w:t>15.</w:t>
      </w:r>
      <w:r>
        <w:rPr>
          <w:rFonts w:ascii="Times New Roman"/>
          <w:b w:val="false"/>
          <w:i w:val="false"/>
          <w:color w:val="000000"/>
          <w:sz w:val="24"/>
          <w:lang w:val="pl-PL"/>
        </w:rPr>
        <w:t xml:space="preserve"> Do skargi, o której mowa w </w:t>
      </w:r>
      <w:r>
        <w:rPr>
          <w:rFonts w:ascii="Times New Roman"/>
          <w:b w:val="false"/>
          <w:i w:val="false"/>
          <w:color w:val="1b1b1b"/>
          <w:sz w:val="24"/>
          <w:lang w:val="pl-PL"/>
        </w:rPr>
        <w:t>ust. 14</w:t>
      </w:r>
      <w:r>
        <w:rPr>
          <w:rFonts w:ascii="Times New Roman"/>
          <w:b w:val="false"/>
          <w:i w:val="false"/>
          <w:color w:val="000000"/>
          <w:sz w:val="24"/>
          <w:lang w:val="pl-PL"/>
        </w:rPr>
        <w:t xml:space="preserve">, stosuje się odpowiednio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30 sierpnia 2002 r. - Prawo o postępowaniu przed sądami administracyjnymi (Dz. U. z 2024 r. poz. 935 i 1685 oraz z 2025 r. poz. 769) dotyczące skargi na przewlekłe prowadzenie postępowania.</w:t>
      </w:r>
    </w:p>
    <w:p>
      <w:pPr>
        <w:spacing w:before="26" w:after="0"/>
        <w:ind w:left="0"/>
        <w:jc w:val="left"/>
        <w:textAlignment w:val="auto"/>
      </w:pPr>
      <w:r>
        <w:rPr>
          <w:rFonts w:ascii="Times New Roman"/>
          <w:b w:val="false"/>
          <w:i w:val="false"/>
          <w:color w:val="000000"/>
          <w:sz w:val="24"/>
          <w:lang w:val="pl-PL"/>
        </w:rPr>
        <w:t>16.</w:t>
      </w:r>
      <w:r>
        <w:rPr>
          <w:rFonts w:ascii="Times New Roman"/>
          <w:b w:val="false"/>
          <w:i w:val="false"/>
          <w:color w:val="000000"/>
          <w:sz w:val="24"/>
          <w:lang w:val="pl-PL"/>
        </w:rPr>
        <w:t xml:space="preserve"> Do postępowań, o których mowa w </w:t>
      </w:r>
      <w:r>
        <w:rPr>
          <w:rFonts w:ascii="Times New Roman"/>
          <w:b w:val="false"/>
          <w:i w:val="false"/>
          <w:color w:val="1b1b1b"/>
          <w:sz w:val="24"/>
          <w:lang w:val="pl-PL"/>
        </w:rPr>
        <w:t>ust. 6</w:t>
      </w:r>
      <w:r>
        <w:rPr>
          <w:rFonts w:ascii="Times New Roman"/>
          <w:b w:val="false"/>
          <w:i w:val="false"/>
          <w:color w:val="000000"/>
          <w:sz w:val="24"/>
          <w:lang w:val="pl-PL"/>
        </w:rPr>
        <w:t xml:space="preserve">, </w:t>
      </w:r>
      <w:r>
        <w:rPr>
          <w:rFonts w:ascii="Times New Roman"/>
          <w:b w:val="false"/>
          <w:i w:val="false"/>
          <w:color w:val="1b1b1b"/>
          <w:sz w:val="24"/>
          <w:lang w:val="pl-PL"/>
        </w:rPr>
        <w:t>7</w:t>
      </w:r>
      <w:r>
        <w:rPr>
          <w:rFonts w:ascii="Times New Roman"/>
          <w:b w:val="false"/>
          <w:i w:val="false"/>
          <w:color w:val="000000"/>
          <w:sz w:val="24"/>
          <w:lang w:val="pl-PL"/>
        </w:rPr>
        <w:t xml:space="preserve"> i </w:t>
      </w:r>
      <w:r>
        <w:rPr>
          <w:rFonts w:ascii="Times New Roman"/>
          <w:b w:val="false"/>
          <w:i w:val="false"/>
          <w:color w:val="1b1b1b"/>
          <w:sz w:val="24"/>
          <w:lang w:val="pl-PL"/>
        </w:rPr>
        <w:t>9</w:t>
      </w:r>
      <w:r>
        <w:rPr>
          <w:rFonts w:ascii="Times New Roman"/>
          <w:b w:val="false"/>
          <w:i w:val="false"/>
          <w:color w:val="000000"/>
          <w:sz w:val="24"/>
          <w:lang w:val="pl-PL"/>
        </w:rPr>
        <w:t>, w zakresie nieuregulowanym stosuje się przepisy Kodeksu postępowania administracyjnego.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w:t>
      </w:r>
      <w:r>
        <w:rPr>
          <w:rFonts w:ascii="Times New Roman"/>
          <w:b/>
          <w:i w:val="false"/>
          <w:color w:val="000000"/>
          <w:sz w:val="24"/>
          <w:lang w:val="pl-PL"/>
        </w:rPr>
        <w:t xml:space="preserve"> [Nakaz wstrzymania wykonywania działalności gospodarczej]</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 razie powzięcia wiadomości o wykonywaniu działalności gospodarczej niezgodnie z przepisami ustawy, a także w razie stwierdzenia zagrożenia życia lub zdrowia, niebezpieczeństwa powstania szkód majątkowych w znacznych rozmiarach lub bezpośredniego zagrożenia środowiska w wyniku wykonywania tej działalności, wójt, burmistrz lub prezydent miasta niezwłocznie zawiadamia właściwe organy.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Zawiadomione organy niezwłocznie powiadamiają wójta, burmistrza lub prezydenta miasta o podjętych czynnościach.</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 przypadku braku możliwości zawiadomienia, o którym mowa w </w:t>
      </w:r>
      <w:r>
        <w:rPr>
          <w:rFonts w:ascii="Times New Roman"/>
          <w:b w:val="false"/>
          <w:i w:val="false"/>
          <w:color w:val="1b1b1b"/>
          <w:sz w:val="24"/>
          <w:lang w:val="pl-PL"/>
        </w:rPr>
        <w:t>ust. 1</w:t>
      </w:r>
      <w:r>
        <w:rPr>
          <w:rFonts w:ascii="Times New Roman"/>
          <w:b w:val="false"/>
          <w:i w:val="false"/>
          <w:color w:val="000000"/>
          <w:sz w:val="24"/>
          <w:lang w:val="pl-PL"/>
        </w:rPr>
        <w:t>, wójt, burmistrz lub prezydent miasta może nakazać, w drodze decyzji, wstrzymanie wykonywania działalności gospodarczej na czas niezbędny, nie dłuższy niż 3 dni.</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Decyzja nakazująca wstrzymanie wykonywania działalności gospodarczej w razie stwierdzenia zagrożenia życia lub zdrowia, niebezpieczeństwa powstania szkód majątkowych w znacznych rozmiarach lub bezpośredniego zagrożenia środowiska w wyniku wykonywania tej działalności podlega natychmiastowemu wykonaniu.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w:t>
      </w:r>
      <w:r>
        <w:rPr>
          <w:rFonts w:ascii="Times New Roman"/>
          <w:b/>
          <w:i w:val="false"/>
          <w:color w:val="000000"/>
          <w:sz w:val="24"/>
          <w:lang w:val="pl-PL"/>
        </w:rPr>
        <w:t xml:space="preserve"> [Wyłączenie stosowania przepisów o prowadzeniu więcej niż jednej kontroli oraz o czasie trwania kontroli w przypadku wybranych rodzajów działalności]</w:t>
      </w:r>
    </w:p>
    <w:p>
      <w:pPr>
        <w:spacing w:after="0"/>
        <w:ind w:left="0"/>
        <w:jc w:val="left"/>
        <w:textAlignment w:val="auto"/>
      </w:pPr>
      <w:r>
        <w:rPr>
          <w:rFonts w:ascii="Times New Roman"/>
          <w:b w:val="false"/>
          <w:i w:val="false"/>
          <w:color w:val="000000"/>
          <w:sz w:val="24"/>
          <w:lang w:val="pl-PL"/>
        </w:rPr>
        <w:t xml:space="preserve"> Przepisów </w:t>
      </w:r>
      <w:r>
        <w:rPr>
          <w:rFonts w:ascii="Times New Roman"/>
          <w:b w:val="false"/>
          <w:i w:val="false"/>
          <w:color w:val="1b1b1b"/>
          <w:sz w:val="24"/>
          <w:lang w:val="pl-PL"/>
        </w:rPr>
        <w:t>art. 54</w:t>
      </w:r>
      <w:r>
        <w:rPr>
          <w:rFonts w:ascii="Times New Roman"/>
          <w:b w:val="false"/>
          <w:i w:val="false"/>
          <w:color w:val="000000"/>
          <w:sz w:val="24"/>
          <w:lang w:val="pl-PL"/>
        </w:rPr>
        <w:t xml:space="preserve"> i </w:t>
      </w:r>
      <w:r>
        <w:rPr>
          <w:rFonts w:ascii="Times New Roman"/>
          <w:b w:val="false"/>
          <w:i w:val="false"/>
          <w:color w:val="1b1b1b"/>
          <w:sz w:val="24"/>
          <w:lang w:val="pl-PL"/>
        </w:rPr>
        <w:t>art. 55</w:t>
      </w:r>
      <w:r>
        <w:rPr>
          <w:rFonts w:ascii="Times New Roman"/>
          <w:b w:val="false"/>
          <w:i w:val="false"/>
          <w:color w:val="000000"/>
          <w:sz w:val="24"/>
          <w:lang w:val="pl-PL"/>
        </w:rPr>
        <w:t xml:space="preserve"> nie stosuje się:</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do działalności przedsiębiorców w zakresie objętym:</w:t>
      </w:r>
    </w:p>
    <w:p>
      <w:pPr>
        <w:spacing w:after="0"/>
        <w:ind w:left="746"/>
        <w:jc w:val="left"/>
        <w:textAlignment w:val="auto"/>
      </w:pPr>
      <w:r>
        <w:rPr>
          <w:rFonts w:ascii="Times New Roman"/>
          <w:b w:val="false"/>
          <w:i w:val="false"/>
          <w:color w:val="000000"/>
          <w:sz w:val="24"/>
          <w:lang w:val="pl-PL"/>
        </w:rPr>
        <w:t>a)</w:t>
      </w:r>
      <w:r>
        <w:rPr>
          <w:rFonts w:ascii="Times New Roman"/>
          <w:b w:val="false"/>
          <w:i w:val="false"/>
          <w:color w:val="000000"/>
          <w:sz w:val="24"/>
          <w:lang w:val="pl-PL"/>
        </w:rPr>
        <w:t xml:space="preserve"> nadzorem, o którym mowa w </w:t>
      </w:r>
      <w:r>
        <w:rPr>
          <w:rFonts w:ascii="Times New Roman"/>
          <w:b w:val="false"/>
          <w:i w:val="false"/>
          <w:color w:val="1b1b1b"/>
          <w:sz w:val="24"/>
          <w:lang w:val="pl-PL"/>
        </w:rPr>
        <w:t>art. 1 ust. 2</w:t>
      </w:r>
      <w:r>
        <w:rPr>
          <w:rFonts w:ascii="Times New Roman"/>
          <w:b w:val="false"/>
          <w:i w:val="false"/>
          <w:color w:val="000000"/>
          <w:sz w:val="24"/>
          <w:lang w:val="pl-PL"/>
        </w:rPr>
        <w:t xml:space="preserve"> ustawy z dnia 21 lipca 2006 r. o nadzorze nad rynkiem finansowym,</w:t>
      </w:r>
    </w:p>
    <w:p>
      <w:pPr>
        <w:spacing w:after="0"/>
        <w:ind w:left="746"/>
        <w:jc w:val="left"/>
        <w:textAlignment w:val="auto"/>
      </w:pPr>
      <w:r>
        <w:rPr>
          <w:rFonts w:ascii="Times New Roman"/>
          <w:b w:val="false"/>
          <w:i w:val="false"/>
          <w:color w:val="000000"/>
          <w:sz w:val="24"/>
          <w:lang w:val="pl-PL"/>
        </w:rPr>
        <w:t>b)</w:t>
      </w:r>
      <w:r>
        <w:rPr>
          <w:rFonts w:ascii="Times New Roman"/>
          <w:b w:val="false"/>
          <w:i w:val="false"/>
          <w:color w:val="000000"/>
          <w:sz w:val="24"/>
          <w:lang w:val="pl-PL"/>
        </w:rPr>
        <w:t xml:space="preserve"> nadzorem sanitarnym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14 marca 1985 r. o Państwowej Inspekcji Sanitarnej (Dz. U. z 2024 r. poz. 416) i </w:t>
      </w:r>
      <w:r>
        <w:rPr>
          <w:rFonts w:ascii="Times New Roman"/>
          <w:b w:val="false"/>
          <w:i w:val="false"/>
          <w:color w:val="1b1b1b"/>
          <w:sz w:val="24"/>
          <w:lang w:val="pl-PL"/>
        </w:rPr>
        <w:t>ustawy</w:t>
      </w:r>
      <w:r>
        <w:rPr>
          <w:rFonts w:ascii="Times New Roman"/>
          <w:b w:val="false"/>
          <w:i w:val="false"/>
          <w:color w:val="000000"/>
          <w:sz w:val="24"/>
          <w:lang w:val="pl-PL"/>
        </w:rPr>
        <w:t xml:space="preserve"> z dnia 25 sierpnia 2006 r. o bezpieczeństwie żywności i żywienia (Dz. U. z 2023 r. poz. 1448), w zakresie dotyczącym bezpieczeństwa żywności,</w:t>
      </w:r>
    </w:p>
    <w:p>
      <w:pPr>
        <w:spacing w:after="0"/>
        <w:ind w:left="746"/>
        <w:jc w:val="left"/>
        <w:textAlignment w:val="auto"/>
      </w:pPr>
      <w:r>
        <w:rPr>
          <w:rFonts w:ascii="Times New Roman"/>
          <w:b w:val="false"/>
          <w:i w:val="false"/>
          <w:color w:val="000000"/>
          <w:sz w:val="24"/>
          <w:lang w:val="pl-PL"/>
        </w:rPr>
        <w:t>c)</w:t>
      </w:r>
      <w:r>
        <w:rPr>
          <w:rFonts w:ascii="Times New Roman"/>
          <w:b w:val="false"/>
          <w:i w:val="false"/>
          <w:color w:val="000000"/>
          <w:sz w:val="24"/>
          <w:lang w:val="pl-PL"/>
        </w:rPr>
        <w:t xml:space="preserve"> nadzorem nad wyrobami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7 kwietnia 2022 r. o wyrobach medycznych (Dz. U. z 2024 r. poz. 1620);</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odniesieniu do kontroli świadczeniodawców przeprowadzanej przez podmiot zobowiązany do finansowania świadczeń opieki zdrowotnej ze środków publicznych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27 sierpnia 2004 r. o świadczeniach opieki zdrowotnej finansowanych ze środków publicznych (Dz. U. z 2024 r. poz. 146, z późn. zm.);</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do próby technicznej, o której mowa w </w:t>
      </w:r>
      <w:r>
        <w:rPr>
          <w:rFonts w:ascii="Times New Roman"/>
          <w:b w:val="false"/>
          <w:i w:val="false"/>
          <w:color w:val="1b1b1b"/>
          <w:sz w:val="24"/>
          <w:lang w:val="pl-PL"/>
        </w:rPr>
        <w:t>art. 29d</w:t>
      </w:r>
      <w:r>
        <w:rPr>
          <w:rFonts w:ascii="Times New Roman"/>
          <w:b w:val="false"/>
          <w:i w:val="false"/>
          <w:color w:val="000000"/>
          <w:sz w:val="24"/>
          <w:lang w:val="pl-PL"/>
        </w:rPr>
        <w:t xml:space="preserve"> ustawy z dnia 16 lutego 2007 r. o zapasach ropy naftowej, produktów naftowych i gazu ziemnego oraz zasadach postępowania w sytuacjach zagrożenia bezpieczeństwa paliwowego państwa i zakłóceń na rynku naftowym (Dz. U. z 2024 r. poz. 1281 oraz z 2025 r. poz. 1168 i 1303).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62.</w:t>
      </w:r>
      <w:r>
        <w:rPr>
          <w:rFonts w:ascii="Times New Roman"/>
          <w:b/>
          <w:i w:val="false"/>
          <w:color w:val="000000"/>
          <w:sz w:val="24"/>
          <w:lang w:val="pl-PL"/>
        </w:rPr>
        <w:t xml:space="preserve"> [Wyłączenie stosowania wybranych przepisów o kontroli]</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Przepisów </w:t>
      </w:r>
      <w:r>
        <w:rPr>
          <w:rFonts w:ascii="Times New Roman"/>
          <w:b w:val="false"/>
          <w:i w:val="false"/>
          <w:color w:val="1b1b1b"/>
          <w:sz w:val="24"/>
          <w:lang w:val="pl-PL"/>
        </w:rPr>
        <w:t>art. 48-51</w:t>
      </w:r>
      <w:r>
        <w:rPr>
          <w:rFonts w:ascii="Times New Roman"/>
          <w:b w:val="false"/>
          <w:i w:val="false"/>
          <w:color w:val="000000"/>
          <w:sz w:val="24"/>
          <w:lang w:val="pl-PL"/>
        </w:rPr>
        <w:t xml:space="preserve">, </w:t>
      </w:r>
      <w:r>
        <w:rPr>
          <w:rFonts w:ascii="Times New Roman"/>
          <w:b w:val="false"/>
          <w:i w:val="false"/>
          <w:color w:val="1b1b1b"/>
          <w:sz w:val="24"/>
          <w:lang w:val="pl-PL"/>
        </w:rPr>
        <w:t>art. 54</w:t>
      </w:r>
      <w:r>
        <w:rPr>
          <w:rFonts w:ascii="Times New Roman"/>
          <w:b w:val="false"/>
          <w:i w:val="false"/>
          <w:color w:val="000000"/>
          <w:sz w:val="24"/>
          <w:lang w:val="pl-PL"/>
        </w:rPr>
        <w:t xml:space="preserve">, </w:t>
      </w:r>
      <w:r>
        <w:rPr>
          <w:rFonts w:ascii="Times New Roman"/>
          <w:b w:val="false"/>
          <w:i w:val="false"/>
          <w:color w:val="1b1b1b"/>
          <w:sz w:val="24"/>
          <w:lang w:val="pl-PL"/>
        </w:rPr>
        <w:t>art. 55</w:t>
      </w:r>
      <w:r>
        <w:rPr>
          <w:rFonts w:ascii="Times New Roman"/>
          <w:b w:val="false"/>
          <w:i w:val="false"/>
          <w:color w:val="000000"/>
          <w:sz w:val="24"/>
          <w:lang w:val="pl-PL"/>
        </w:rPr>
        <w:t xml:space="preserve"> i </w:t>
      </w:r>
      <w:r>
        <w:rPr>
          <w:rFonts w:ascii="Times New Roman"/>
          <w:b w:val="false"/>
          <w:i w:val="false"/>
          <w:color w:val="1b1b1b"/>
          <w:sz w:val="24"/>
          <w:lang w:val="pl-PL"/>
        </w:rPr>
        <w:t>art. 57</w:t>
      </w:r>
      <w:r>
        <w:rPr>
          <w:rFonts w:ascii="Times New Roman"/>
          <w:b w:val="false"/>
          <w:i w:val="false"/>
          <w:color w:val="000000"/>
          <w:sz w:val="24"/>
          <w:lang w:val="pl-PL"/>
        </w:rPr>
        <w:t xml:space="preserve"> nie stosuje się do działalności gospodarczej przedsiębiorców w zakresie: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objętym kontrolą związaną z obejmowaniem towarów procedurą celną i powrotnym wywozem dokonywaną w urzędzie celno-skarbowym albo miejscu wyznaczonym lub uznanym przez organ celny, na podstawie przepisów celnych, albo graniczną kontrolą fitosanitarną dokonywaną na podstawie przepisów ustawy z dnia 13 lutego 2020 r. o ochronie roślin przed agrofagami;</w:t>
      </w:r>
    </w:p>
    <w:p>
      <w:pPr>
        <w:spacing w:before="26" w:after="0"/>
        <w:ind w:left="373"/>
        <w:jc w:val="left"/>
        <w:textAlignment w:val="auto"/>
      </w:pPr>
      <w:r>
        <w:rPr>
          <w:rFonts w:ascii="Times New Roman"/>
          <w:b w:val="false"/>
          <w:i w:val="false"/>
          <w:color w:val="000000"/>
          <w:sz w:val="24"/>
          <w:lang w:val="pl-PL"/>
        </w:rPr>
        <w:t>1a)</w:t>
      </w:r>
      <w:r>
        <w:rPr>
          <w:rFonts w:ascii="Times New Roman"/>
          <w:b w:val="false"/>
          <w:i w:val="false"/>
          <w:color w:val="000000"/>
          <w:sz w:val="24"/>
          <w:lang w:val="pl-PL"/>
        </w:rPr>
        <w:t xml:space="preserve"> objętym kontrolą środków ochrony roślin wprowadzanych na terytorium Rzeczypospolitej Polskiej na podstawie przepisów ustawy z dnia 8 marca 2013 r. o środkach ochrony roślin - w przypadku gdy kontrolę tę przeprowadza się zgodnie z </w:t>
      </w:r>
      <w:r>
        <w:rPr>
          <w:rFonts w:ascii="Times New Roman"/>
          <w:b w:val="false"/>
          <w:i w:val="false"/>
          <w:color w:val="1b1b1b"/>
          <w:sz w:val="24"/>
          <w:lang w:val="pl-PL"/>
        </w:rPr>
        <w:t>art. 44 ust. 1</w:t>
      </w:r>
      <w:r>
        <w:rPr>
          <w:rFonts w:ascii="Times New Roman"/>
          <w:b w:val="false"/>
          <w:i w:val="false"/>
          <w:color w:val="000000"/>
          <w:sz w:val="24"/>
          <w:lang w:val="pl-PL"/>
        </w:rPr>
        <w:t xml:space="preserve"> rozporządzenia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 zmieniającego rozporządzenia Parlamentu Europejskiego i Rady (WE) nr </w:t>
      </w:r>
      <w:r>
        <w:rPr>
          <w:rFonts w:ascii="Times New Roman"/>
          <w:b w:val="false"/>
          <w:i w:val="false"/>
          <w:color w:val="1b1b1b"/>
          <w:sz w:val="24"/>
          <w:lang w:val="pl-PL"/>
        </w:rPr>
        <w:t>999/2001</w:t>
      </w:r>
      <w:r>
        <w:rPr>
          <w:rFonts w:ascii="Times New Roman"/>
          <w:b w:val="false"/>
          <w:i w:val="false"/>
          <w:color w:val="000000"/>
          <w:sz w:val="24"/>
          <w:lang w:val="pl-PL"/>
        </w:rPr>
        <w:t xml:space="preserve">, (WE) nr </w:t>
      </w:r>
      <w:r>
        <w:rPr>
          <w:rFonts w:ascii="Times New Roman"/>
          <w:b w:val="false"/>
          <w:i w:val="false"/>
          <w:color w:val="1b1b1b"/>
          <w:sz w:val="24"/>
          <w:lang w:val="pl-PL"/>
        </w:rPr>
        <w:t>396/2005</w:t>
      </w:r>
      <w:r>
        <w:rPr>
          <w:rFonts w:ascii="Times New Roman"/>
          <w:b w:val="false"/>
          <w:i w:val="false"/>
          <w:color w:val="000000"/>
          <w:sz w:val="24"/>
          <w:lang w:val="pl-PL"/>
        </w:rPr>
        <w:t xml:space="preserve">, (WE) nr </w:t>
      </w:r>
      <w:r>
        <w:rPr>
          <w:rFonts w:ascii="Times New Roman"/>
          <w:b w:val="false"/>
          <w:i w:val="false"/>
          <w:color w:val="1b1b1b"/>
          <w:sz w:val="24"/>
          <w:lang w:val="pl-PL"/>
        </w:rPr>
        <w:t>1069/2009</w:t>
      </w:r>
      <w:r>
        <w:rPr>
          <w:rFonts w:ascii="Times New Roman"/>
          <w:b w:val="false"/>
          <w:i w:val="false"/>
          <w:color w:val="000000"/>
          <w:sz w:val="24"/>
          <w:lang w:val="pl-PL"/>
        </w:rPr>
        <w:t xml:space="preserve">, (WE) nr </w:t>
      </w:r>
      <w:r>
        <w:rPr>
          <w:rFonts w:ascii="Times New Roman"/>
          <w:b w:val="false"/>
          <w:i w:val="false"/>
          <w:color w:val="1b1b1b"/>
          <w:sz w:val="24"/>
          <w:lang w:val="pl-PL"/>
        </w:rPr>
        <w:t>1107/2009</w:t>
      </w:r>
      <w:r>
        <w:rPr>
          <w:rFonts w:ascii="Times New Roman"/>
          <w:b w:val="false"/>
          <w:i w:val="false"/>
          <w:color w:val="000000"/>
          <w:sz w:val="24"/>
          <w:lang w:val="pl-PL"/>
        </w:rPr>
        <w:t xml:space="preserve">, (UE) nr </w:t>
      </w:r>
      <w:r>
        <w:rPr>
          <w:rFonts w:ascii="Times New Roman"/>
          <w:b w:val="false"/>
          <w:i w:val="false"/>
          <w:color w:val="1b1b1b"/>
          <w:sz w:val="24"/>
          <w:lang w:val="pl-PL"/>
        </w:rPr>
        <w:t>1151/2012</w:t>
      </w:r>
      <w:r>
        <w:rPr>
          <w:rFonts w:ascii="Times New Roman"/>
          <w:b w:val="false"/>
          <w:i w:val="false"/>
          <w:color w:val="000000"/>
          <w:sz w:val="24"/>
          <w:lang w:val="pl-PL"/>
        </w:rPr>
        <w:t xml:space="preserve">, (UE) nr </w:t>
      </w:r>
      <w:r>
        <w:rPr>
          <w:rFonts w:ascii="Times New Roman"/>
          <w:b w:val="false"/>
          <w:i w:val="false"/>
          <w:color w:val="1b1b1b"/>
          <w:sz w:val="24"/>
          <w:lang w:val="pl-PL"/>
        </w:rPr>
        <w:t>652/2014</w:t>
      </w:r>
      <w:r>
        <w:rPr>
          <w:rFonts w:ascii="Times New Roman"/>
          <w:b w:val="false"/>
          <w:i w:val="false"/>
          <w:color w:val="000000"/>
          <w:sz w:val="24"/>
          <w:lang w:val="pl-PL"/>
        </w:rPr>
        <w:t xml:space="preserve">, (UE) </w:t>
      </w:r>
      <w:r>
        <w:rPr>
          <w:rFonts w:ascii="Times New Roman"/>
          <w:b w:val="false"/>
          <w:i w:val="false"/>
          <w:color w:val="1b1b1b"/>
          <w:sz w:val="24"/>
          <w:lang w:val="pl-PL"/>
        </w:rPr>
        <w:t>2016/429</w:t>
      </w:r>
      <w:r>
        <w:rPr>
          <w:rFonts w:ascii="Times New Roman"/>
          <w:b w:val="false"/>
          <w:i w:val="false"/>
          <w:color w:val="000000"/>
          <w:sz w:val="24"/>
          <w:lang w:val="pl-PL"/>
        </w:rPr>
        <w:t xml:space="preserve"> i (UE) </w:t>
      </w:r>
      <w:r>
        <w:rPr>
          <w:rFonts w:ascii="Times New Roman"/>
          <w:b w:val="false"/>
          <w:i w:val="false"/>
          <w:color w:val="1b1b1b"/>
          <w:sz w:val="24"/>
          <w:lang w:val="pl-PL"/>
        </w:rPr>
        <w:t>2016/2031</w:t>
      </w:r>
      <w:r>
        <w:rPr>
          <w:rFonts w:ascii="Times New Roman"/>
          <w:b w:val="false"/>
          <w:i w:val="false"/>
          <w:color w:val="000000"/>
          <w:sz w:val="24"/>
          <w:lang w:val="pl-PL"/>
        </w:rPr>
        <w:t xml:space="preserve">, rozporządzenia Rady (WE) nr </w:t>
      </w:r>
      <w:r>
        <w:rPr>
          <w:rFonts w:ascii="Times New Roman"/>
          <w:b w:val="false"/>
          <w:i w:val="false"/>
          <w:color w:val="1b1b1b"/>
          <w:sz w:val="24"/>
          <w:lang w:val="pl-PL"/>
        </w:rPr>
        <w:t>1/2005</w:t>
      </w:r>
      <w:r>
        <w:rPr>
          <w:rFonts w:ascii="Times New Roman"/>
          <w:b w:val="false"/>
          <w:i w:val="false"/>
          <w:color w:val="000000"/>
          <w:sz w:val="24"/>
          <w:lang w:val="pl-PL"/>
        </w:rPr>
        <w:t xml:space="preserve"> i (WE) nr </w:t>
      </w:r>
      <w:r>
        <w:rPr>
          <w:rFonts w:ascii="Times New Roman"/>
          <w:b w:val="false"/>
          <w:i w:val="false"/>
          <w:color w:val="1b1b1b"/>
          <w:sz w:val="24"/>
          <w:lang w:val="pl-PL"/>
        </w:rPr>
        <w:t>1099/2009</w:t>
      </w:r>
      <w:r>
        <w:rPr>
          <w:rFonts w:ascii="Times New Roman"/>
          <w:b w:val="false"/>
          <w:i w:val="false"/>
          <w:color w:val="000000"/>
          <w:sz w:val="24"/>
          <w:lang w:val="pl-PL"/>
        </w:rPr>
        <w:t xml:space="preserve"> oraz dyrektywy Rady </w:t>
      </w:r>
      <w:r>
        <w:rPr>
          <w:rFonts w:ascii="Times New Roman"/>
          <w:b w:val="false"/>
          <w:i w:val="false"/>
          <w:color w:val="1b1b1b"/>
          <w:sz w:val="24"/>
          <w:lang w:val="pl-PL"/>
        </w:rPr>
        <w:t>98/58/WE</w:t>
      </w:r>
      <w:r>
        <w:rPr>
          <w:rFonts w:ascii="Times New Roman"/>
          <w:b w:val="false"/>
          <w:i w:val="false"/>
          <w:color w:val="000000"/>
          <w:sz w:val="24"/>
          <w:lang w:val="pl-PL"/>
        </w:rPr>
        <w:t xml:space="preserve">, </w:t>
      </w:r>
      <w:r>
        <w:rPr>
          <w:rFonts w:ascii="Times New Roman"/>
          <w:b w:val="false"/>
          <w:i w:val="false"/>
          <w:color w:val="1b1b1b"/>
          <w:sz w:val="24"/>
          <w:lang w:val="pl-PL"/>
        </w:rPr>
        <w:t>1999/74/WE</w:t>
      </w:r>
      <w:r>
        <w:rPr>
          <w:rFonts w:ascii="Times New Roman"/>
          <w:b w:val="false"/>
          <w:i w:val="false"/>
          <w:color w:val="000000"/>
          <w:sz w:val="24"/>
          <w:lang w:val="pl-PL"/>
        </w:rPr>
        <w:t xml:space="preserve">, </w:t>
      </w:r>
      <w:r>
        <w:rPr>
          <w:rFonts w:ascii="Times New Roman"/>
          <w:b w:val="false"/>
          <w:i w:val="false"/>
          <w:color w:val="1b1b1b"/>
          <w:sz w:val="24"/>
          <w:lang w:val="pl-PL"/>
        </w:rPr>
        <w:t>2007/43/WE</w:t>
      </w:r>
      <w:r>
        <w:rPr>
          <w:rFonts w:ascii="Times New Roman"/>
          <w:b w:val="false"/>
          <w:i w:val="false"/>
          <w:color w:val="000000"/>
          <w:sz w:val="24"/>
          <w:lang w:val="pl-PL"/>
        </w:rPr>
        <w:t xml:space="preserve">, </w:t>
      </w:r>
      <w:r>
        <w:rPr>
          <w:rFonts w:ascii="Times New Roman"/>
          <w:b w:val="false"/>
          <w:i w:val="false"/>
          <w:color w:val="1b1b1b"/>
          <w:sz w:val="24"/>
          <w:lang w:val="pl-PL"/>
        </w:rPr>
        <w:t>2008/119/WE</w:t>
      </w:r>
      <w:r>
        <w:rPr>
          <w:rFonts w:ascii="Times New Roman"/>
          <w:b w:val="false"/>
          <w:i w:val="false"/>
          <w:color w:val="000000"/>
          <w:sz w:val="24"/>
          <w:lang w:val="pl-PL"/>
        </w:rPr>
        <w:t xml:space="preserve"> i </w:t>
      </w:r>
      <w:r>
        <w:rPr>
          <w:rFonts w:ascii="Times New Roman"/>
          <w:b w:val="false"/>
          <w:i w:val="false"/>
          <w:color w:val="1b1b1b"/>
          <w:sz w:val="24"/>
          <w:lang w:val="pl-PL"/>
        </w:rPr>
        <w:t>2008/120/WE</w:t>
      </w:r>
      <w:r>
        <w:rPr>
          <w:rFonts w:ascii="Times New Roman"/>
          <w:b w:val="false"/>
          <w:i w:val="false"/>
          <w:color w:val="000000"/>
          <w:sz w:val="24"/>
          <w:lang w:val="pl-PL"/>
        </w:rPr>
        <w:t xml:space="preserve">, oraz uchylającego rozporządzenia Parlamentu Europejskiego i Rady (WE) nr </w:t>
      </w:r>
      <w:r>
        <w:rPr>
          <w:rFonts w:ascii="Times New Roman"/>
          <w:b w:val="false"/>
          <w:i w:val="false"/>
          <w:color w:val="1b1b1b"/>
          <w:sz w:val="24"/>
          <w:lang w:val="pl-PL"/>
        </w:rPr>
        <w:t>854/2004</w:t>
      </w:r>
      <w:r>
        <w:rPr>
          <w:rFonts w:ascii="Times New Roman"/>
          <w:b w:val="false"/>
          <w:i w:val="false"/>
          <w:color w:val="000000"/>
          <w:sz w:val="24"/>
          <w:lang w:val="pl-PL"/>
        </w:rPr>
        <w:t xml:space="preserve"> i (WE) nr </w:t>
      </w:r>
      <w:r>
        <w:rPr>
          <w:rFonts w:ascii="Times New Roman"/>
          <w:b w:val="false"/>
          <w:i w:val="false"/>
          <w:color w:val="1b1b1b"/>
          <w:sz w:val="24"/>
          <w:lang w:val="pl-PL"/>
        </w:rPr>
        <w:t>882/2004</w:t>
      </w:r>
      <w:r>
        <w:rPr>
          <w:rFonts w:ascii="Times New Roman"/>
          <w:b w:val="false"/>
          <w:i w:val="false"/>
          <w:color w:val="000000"/>
          <w:sz w:val="24"/>
          <w:lang w:val="pl-PL"/>
        </w:rPr>
        <w:t xml:space="preserve">, dyrektywy Rady </w:t>
      </w:r>
      <w:r>
        <w:rPr>
          <w:rFonts w:ascii="Times New Roman"/>
          <w:b w:val="false"/>
          <w:i w:val="false"/>
          <w:color w:val="1b1b1b"/>
          <w:sz w:val="24"/>
          <w:lang w:val="pl-PL"/>
        </w:rPr>
        <w:t>89/608/EWG</w:t>
      </w:r>
      <w:r>
        <w:rPr>
          <w:rFonts w:ascii="Times New Roman"/>
          <w:b w:val="false"/>
          <w:i w:val="false"/>
          <w:color w:val="000000"/>
          <w:sz w:val="24"/>
          <w:lang w:val="pl-PL"/>
        </w:rPr>
        <w:t xml:space="preserve">, </w:t>
      </w:r>
      <w:r>
        <w:rPr>
          <w:rFonts w:ascii="Times New Roman"/>
          <w:b w:val="false"/>
          <w:i w:val="false"/>
          <w:color w:val="1b1b1b"/>
          <w:sz w:val="24"/>
          <w:lang w:val="pl-PL"/>
        </w:rPr>
        <w:t>89/662/EWG</w:t>
      </w:r>
      <w:r>
        <w:rPr>
          <w:rFonts w:ascii="Times New Roman"/>
          <w:b w:val="false"/>
          <w:i w:val="false"/>
          <w:color w:val="000000"/>
          <w:sz w:val="24"/>
          <w:lang w:val="pl-PL"/>
        </w:rPr>
        <w:t xml:space="preserve">, </w:t>
      </w:r>
      <w:r>
        <w:rPr>
          <w:rFonts w:ascii="Times New Roman"/>
          <w:b w:val="false"/>
          <w:i w:val="false"/>
          <w:color w:val="1b1b1b"/>
          <w:sz w:val="24"/>
          <w:lang w:val="pl-PL"/>
        </w:rPr>
        <w:t>90/425/EWG</w:t>
      </w:r>
      <w:r>
        <w:rPr>
          <w:rFonts w:ascii="Times New Roman"/>
          <w:b w:val="false"/>
          <w:i w:val="false"/>
          <w:color w:val="000000"/>
          <w:sz w:val="24"/>
          <w:lang w:val="pl-PL"/>
        </w:rPr>
        <w:t xml:space="preserve">, </w:t>
      </w:r>
      <w:r>
        <w:rPr>
          <w:rFonts w:ascii="Times New Roman"/>
          <w:b w:val="false"/>
          <w:i w:val="false"/>
          <w:color w:val="1b1b1b"/>
          <w:sz w:val="24"/>
          <w:lang w:val="pl-PL"/>
        </w:rPr>
        <w:t>91/496/EWG</w:t>
      </w:r>
      <w:r>
        <w:rPr>
          <w:rFonts w:ascii="Times New Roman"/>
          <w:b w:val="false"/>
          <w:i w:val="false"/>
          <w:color w:val="000000"/>
          <w:sz w:val="24"/>
          <w:lang w:val="pl-PL"/>
        </w:rPr>
        <w:t xml:space="preserve">, </w:t>
      </w:r>
      <w:r>
        <w:rPr>
          <w:rFonts w:ascii="Times New Roman"/>
          <w:b w:val="false"/>
          <w:i w:val="false"/>
          <w:color w:val="1b1b1b"/>
          <w:sz w:val="24"/>
          <w:lang w:val="pl-PL"/>
        </w:rPr>
        <w:t>96/23/WE</w:t>
      </w:r>
      <w:r>
        <w:rPr>
          <w:rFonts w:ascii="Times New Roman"/>
          <w:b w:val="false"/>
          <w:i w:val="false"/>
          <w:color w:val="000000"/>
          <w:sz w:val="24"/>
          <w:lang w:val="pl-PL"/>
        </w:rPr>
        <w:t xml:space="preserve">, </w:t>
      </w:r>
      <w:r>
        <w:rPr>
          <w:rFonts w:ascii="Times New Roman"/>
          <w:b w:val="false"/>
          <w:i w:val="false"/>
          <w:color w:val="1b1b1b"/>
          <w:sz w:val="24"/>
          <w:lang w:val="pl-PL"/>
        </w:rPr>
        <w:t>96/93/WE</w:t>
      </w:r>
      <w:r>
        <w:rPr>
          <w:rFonts w:ascii="Times New Roman"/>
          <w:b w:val="false"/>
          <w:i w:val="false"/>
          <w:color w:val="000000"/>
          <w:sz w:val="24"/>
          <w:lang w:val="pl-PL"/>
        </w:rPr>
        <w:t xml:space="preserve"> i </w:t>
      </w:r>
      <w:r>
        <w:rPr>
          <w:rFonts w:ascii="Times New Roman"/>
          <w:b w:val="false"/>
          <w:i w:val="false"/>
          <w:color w:val="1b1b1b"/>
          <w:sz w:val="24"/>
          <w:lang w:val="pl-PL"/>
        </w:rPr>
        <w:t>97/78/WE</w:t>
      </w:r>
      <w:r>
        <w:rPr>
          <w:rFonts w:ascii="Times New Roman"/>
          <w:b w:val="false"/>
          <w:i w:val="false"/>
          <w:color w:val="000000"/>
          <w:sz w:val="24"/>
          <w:lang w:val="pl-PL"/>
        </w:rPr>
        <w:t xml:space="preserve"> oraz </w:t>
      </w:r>
      <w:r>
        <w:rPr>
          <w:rFonts w:ascii="Times New Roman"/>
          <w:b w:val="false"/>
          <w:i w:val="false"/>
          <w:color w:val="1b1b1b"/>
          <w:sz w:val="24"/>
          <w:lang w:val="pl-PL"/>
        </w:rPr>
        <w:t>decyzję</w:t>
      </w:r>
      <w:r>
        <w:rPr>
          <w:rFonts w:ascii="Times New Roman"/>
          <w:b w:val="false"/>
          <w:i w:val="false"/>
          <w:color w:val="000000"/>
          <w:sz w:val="24"/>
          <w:lang w:val="pl-PL"/>
        </w:rPr>
        <w:t xml:space="preserve"> Rady 92/438/EWG (rozporządzenie w sprawie kontroli urzędowych);</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objętym kontrolą przemieszczających się środków transportu, osób z nich korzystających oraz towarów nimi przewożonych, na podstawie:</w:t>
      </w:r>
    </w:p>
    <w:p>
      <w:pPr>
        <w:spacing w:after="0"/>
        <w:ind w:left="746"/>
        <w:jc w:val="left"/>
        <w:textAlignment w:val="auto"/>
      </w:pPr>
      <w:r>
        <w:rPr>
          <w:rFonts w:ascii="Times New Roman"/>
          <w:b w:val="false"/>
          <w:i w:val="false"/>
          <w:color w:val="000000"/>
          <w:sz w:val="24"/>
          <w:lang w:val="pl-PL"/>
        </w:rPr>
        <w:t>a)</w:t>
      </w:r>
      <w:r>
        <w:rPr>
          <w:rFonts w:ascii="Times New Roman"/>
          <w:b w:val="false"/>
          <w:i w:val="false"/>
          <w:color w:val="000000"/>
          <w:sz w:val="24"/>
          <w:lang w:val="pl-PL"/>
        </w:rPr>
        <w:t xml:space="preserve"> </w:t>
      </w:r>
      <w:r>
        <w:rPr>
          <w:rFonts w:ascii="Times New Roman"/>
          <w:b w:val="false"/>
          <w:i w:val="false"/>
          <w:color w:val="1b1b1b"/>
          <w:sz w:val="24"/>
          <w:lang w:val="pl-PL"/>
        </w:rPr>
        <w:t>ustawy</w:t>
      </w:r>
      <w:r>
        <w:rPr>
          <w:rFonts w:ascii="Times New Roman"/>
          <w:b w:val="false"/>
          <w:i w:val="false"/>
          <w:color w:val="000000"/>
          <w:sz w:val="24"/>
          <w:lang w:val="pl-PL"/>
        </w:rPr>
        <w:t xml:space="preserve"> z dnia 21 grudnia 2000 r. o żegludze śródlądowej (Dz. U. z 2025 r. poz. 18),</w:t>
      </w:r>
    </w:p>
    <w:p>
      <w:pPr>
        <w:spacing w:after="0"/>
        <w:ind w:left="746"/>
        <w:jc w:val="left"/>
        <w:textAlignment w:val="auto"/>
      </w:pPr>
      <w:r>
        <w:rPr>
          <w:rFonts w:ascii="Times New Roman"/>
          <w:b w:val="false"/>
          <w:i w:val="false"/>
          <w:color w:val="000000"/>
          <w:sz w:val="24"/>
          <w:lang w:val="pl-PL"/>
        </w:rPr>
        <w:t>b)</w:t>
      </w:r>
      <w:r>
        <w:rPr>
          <w:rFonts w:ascii="Times New Roman"/>
          <w:b w:val="false"/>
          <w:i w:val="false"/>
          <w:color w:val="000000"/>
          <w:sz w:val="24"/>
          <w:lang w:val="pl-PL"/>
        </w:rPr>
        <w:t xml:space="preserve"> </w:t>
      </w:r>
      <w:r>
        <w:rPr>
          <w:rFonts w:ascii="Times New Roman"/>
          <w:b w:val="false"/>
          <w:i w:val="false"/>
          <w:color w:val="1b1b1b"/>
          <w:sz w:val="24"/>
          <w:lang w:val="pl-PL"/>
        </w:rPr>
        <w:t>ustawy</w:t>
      </w:r>
      <w:r>
        <w:rPr>
          <w:rFonts w:ascii="Times New Roman"/>
          <w:b w:val="false"/>
          <w:i w:val="false"/>
          <w:color w:val="000000"/>
          <w:sz w:val="24"/>
          <w:lang w:val="pl-PL"/>
        </w:rPr>
        <w:t xml:space="preserve"> z dnia 6 września 2001 r. o transporcie drogowym (Dz. U. z 2024 r. poz. 1539, 1544 i 1855),</w:t>
      </w:r>
    </w:p>
    <w:p>
      <w:pPr>
        <w:spacing w:after="0"/>
        <w:ind w:left="746"/>
        <w:jc w:val="left"/>
        <w:textAlignment w:val="auto"/>
      </w:pPr>
      <w:r>
        <w:rPr>
          <w:rFonts w:ascii="Times New Roman"/>
          <w:b w:val="false"/>
          <w:i w:val="false"/>
          <w:color w:val="000000"/>
          <w:sz w:val="24"/>
          <w:lang w:val="pl-PL"/>
        </w:rPr>
        <w:t>c)</w:t>
      </w:r>
      <w:r>
        <w:rPr>
          <w:rFonts w:ascii="Times New Roman"/>
          <w:b w:val="false"/>
          <w:i w:val="false"/>
          <w:color w:val="000000"/>
          <w:sz w:val="24"/>
          <w:lang w:val="pl-PL"/>
        </w:rPr>
        <w:t xml:space="preserve"> </w:t>
      </w:r>
      <w:r>
        <w:rPr>
          <w:rFonts w:ascii="Times New Roman"/>
          <w:b w:val="false"/>
          <w:i w:val="false"/>
          <w:color w:val="1b1b1b"/>
          <w:sz w:val="24"/>
          <w:lang w:val="pl-PL"/>
        </w:rPr>
        <w:t>ustawy</w:t>
      </w:r>
      <w:r>
        <w:rPr>
          <w:rFonts w:ascii="Times New Roman"/>
          <w:b w:val="false"/>
          <w:i w:val="false"/>
          <w:color w:val="000000"/>
          <w:sz w:val="24"/>
          <w:lang w:val="pl-PL"/>
        </w:rPr>
        <w:t xml:space="preserve"> z dnia 3 lipca 2002 r. - Prawo lotnicze (Dz. U. z 2023 r. poz. 2110, z późn. zm.),</w:t>
      </w:r>
    </w:p>
    <w:p>
      <w:pPr>
        <w:spacing w:after="0"/>
        <w:ind w:left="746"/>
        <w:jc w:val="left"/>
        <w:textAlignment w:val="auto"/>
      </w:pPr>
      <w:r>
        <w:rPr>
          <w:rFonts w:ascii="Times New Roman"/>
          <w:b w:val="false"/>
          <w:i w:val="false"/>
          <w:color w:val="000000"/>
          <w:sz w:val="24"/>
          <w:lang w:val="pl-PL"/>
        </w:rPr>
        <w:t>d)</w:t>
      </w:r>
      <w:r>
        <w:rPr>
          <w:rFonts w:ascii="Times New Roman"/>
          <w:b w:val="false"/>
          <w:i w:val="false"/>
          <w:color w:val="000000"/>
          <w:sz w:val="24"/>
          <w:lang w:val="pl-PL"/>
        </w:rPr>
        <w:t xml:space="preserve"> </w:t>
      </w:r>
      <w:r>
        <w:rPr>
          <w:rFonts w:ascii="Times New Roman"/>
          <w:b w:val="false"/>
          <w:i w:val="false"/>
          <w:color w:val="1b1b1b"/>
          <w:sz w:val="24"/>
          <w:lang w:val="pl-PL"/>
        </w:rPr>
        <w:t>ustawy</w:t>
      </w:r>
      <w:r>
        <w:rPr>
          <w:rFonts w:ascii="Times New Roman"/>
          <w:b w:val="false"/>
          <w:i w:val="false"/>
          <w:color w:val="000000"/>
          <w:sz w:val="24"/>
          <w:lang w:val="pl-PL"/>
        </w:rPr>
        <w:t xml:space="preserve"> z dnia 28 marca 2003 r. o transporcie kolejowym (Dz. U. z 2025 r. poz. 1234),</w:t>
      </w:r>
    </w:p>
    <w:p>
      <w:pPr>
        <w:spacing w:after="0"/>
        <w:ind w:left="746"/>
        <w:jc w:val="left"/>
        <w:textAlignment w:val="auto"/>
      </w:pPr>
      <w:r>
        <w:rPr>
          <w:rFonts w:ascii="Times New Roman"/>
          <w:b w:val="false"/>
          <w:i w:val="false"/>
          <w:color w:val="000000"/>
          <w:sz w:val="24"/>
          <w:lang w:val="pl-PL"/>
        </w:rPr>
        <w:t>e)</w:t>
      </w:r>
      <w:r>
        <w:rPr>
          <w:rFonts w:ascii="Times New Roman"/>
          <w:b w:val="false"/>
          <w:i w:val="false"/>
          <w:color w:val="000000"/>
          <w:sz w:val="24"/>
          <w:lang w:val="pl-PL"/>
        </w:rPr>
        <w:t xml:space="preserve"> </w:t>
      </w:r>
      <w:r>
        <w:rPr>
          <w:rFonts w:ascii="Times New Roman"/>
          <w:b w:val="false"/>
          <w:i w:val="false"/>
          <w:color w:val="1b1b1b"/>
          <w:sz w:val="24"/>
          <w:lang w:val="pl-PL"/>
        </w:rPr>
        <w:t>ustawy</w:t>
      </w:r>
      <w:r>
        <w:rPr>
          <w:rFonts w:ascii="Times New Roman"/>
          <w:b w:val="false"/>
          <w:i w:val="false"/>
          <w:color w:val="000000"/>
          <w:sz w:val="24"/>
          <w:lang w:val="pl-PL"/>
        </w:rPr>
        <w:t xml:space="preserve"> z dnia 13 lutego 2020 r. o ochronie roślin przed agrofagami,</w:t>
      </w:r>
    </w:p>
    <w:p>
      <w:pPr>
        <w:spacing w:after="0"/>
        <w:ind w:left="746"/>
        <w:jc w:val="left"/>
        <w:textAlignment w:val="auto"/>
      </w:pPr>
      <w:r>
        <w:rPr>
          <w:rFonts w:ascii="Times New Roman"/>
          <w:b w:val="false"/>
          <w:i w:val="false"/>
          <w:color w:val="000000"/>
          <w:sz w:val="24"/>
          <w:lang w:val="pl-PL"/>
        </w:rPr>
        <w:t>f)</w:t>
      </w:r>
      <w:r>
        <w:rPr>
          <w:rFonts w:ascii="Times New Roman"/>
          <w:b w:val="false"/>
          <w:i w:val="false"/>
          <w:color w:val="000000"/>
          <w:sz w:val="24"/>
          <w:lang w:val="pl-PL"/>
        </w:rPr>
        <w:t xml:space="preserve"> </w:t>
      </w:r>
      <w:r>
        <w:rPr>
          <w:rFonts w:ascii="Times New Roman"/>
          <w:b w:val="false"/>
          <w:i w:val="false"/>
          <w:color w:val="1b1b1b"/>
          <w:sz w:val="24"/>
          <w:lang w:val="pl-PL"/>
        </w:rPr>
        <w:t>ustawy</w:t>
      </w:r>
      <w:r>
        <w:rPr>
          <w:rFonts w:ascii="Times New Roman"/>
          <w:b w:val="false"/>
          <w:i w:val="false"/>
          <w:color w:val="000000"/>
          <w:sz w:val="24"/>
          <w:lang w:val="pl-PL"/>
        </w:rPr>
        <w:t xml:space="preserve"> z dnia 16 listopada 2016 r. o Krajowej Administracji Skarbowej (Dz. U. z 2025 r. poz. 1131),</w:t>
      </w:r>
    </w:p>
    <w:p>
      <w:pPr>
        <w:spacing w:after="0"/>
        <w:ind w:left="746"/>
        <w:jc w:val="left"/>
        <w:textAlignment w:val="auto"/>
      </w:pPr>
      <w:r>
        <w:rPr>
          <w:rFonts w:ascii="Times New Roman"/>
          <w:b w:val="false"/>
          <w:i w:val="false"/>
          <w:color w:val="000000"/>
          <w:sz w:val="24"/>
          <w:lang w:val="pl-PL"/>
        </w:rPr>
        <w:t>g)</w:t>
      </w:r>
      <w:r>
        <w:rPr>
          <w:rFonts w:ascii="Times New Roman"/>
          <w:b w:val="false"/>
          <w:i w:val="false"/>
          <w:color w:val="000000"/>
          <w:sz w:val="24"/>
          <w:lang w:val="pl-PL"/>
        </w:rPr>
        <w:t xml:space="preserve"> przepisów ustawy z dnia 8 marca 2013 r. o środkach ochrony roślin - w przypadku gdy kontrolę tę przeprowadza się zgodnie z </w:t>
      </w:r>
      <w:r>
        <w:rPr>
          <w:rFonts w:ascii="Times New Roman"/>
          <w:b w:val="false"/>
          <w:i w:val="false"/>
          <w:color w:val="1b1b1b"/>
          <w:sz w:val="24"/>
          <w:lang w:val="pl-PL"/>
        </w:rPr>
        <w:t>art. 10 ust. 1</w:t>
      </w:r>
      <w:r>
        <w:rPr>
          <w:rFonts w:ascii="Times New Roman"/>
          <w:b w:val="false"/>
          <w:i w:val="false"/>
          <w:color w:val="000000"/>
          <w:sz w:val="24"/>
          <w:lang w:val="pl-PL"/>
        </w:rPr>
        <w:t xml:space="preserve"> rozporządzenia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 zmieniającego rozporządzenia Parlamentu Europejskiego i Rady (WE) nr </w:t>
      </w:r>
      <w:r>
        <w:rPr>
          <w:rFonts w:ascii="Times New Roman"/>
          <w:b w:val="false"/>
          <w:i w:val="false"/>
          <w:color w:val="1b1b1b"/>
          <w:sz w:val="24"/>
          <w:lang w:val="pl-PL"/>
        </w:rPr>
        <w:t>999/2001</w:t>
      </w:r>
      <w:r>
        <w:rPr>
          <w:rFonts w:ascii="Times New Roman"/>
          <w:b w:val="false"/>
          <w:i w:val="false"/>
          <w:color w:val="000000"/>
          <w:sz w:val="24"/>
          <w:lang w:val="pl-PL"/>
        </w:rPr>
        <w:t xml:space="preserve">, (WE) nr </w:t>
      </w:r>
      <w:r>
        <w:rPr>
          <w:rFonts w:ascii="Times New Roman"/>
          <w:b w:val="false"/>
          <w:i w:val="false"/>
          <w:color w:val="1b1b1b"/>
          <w:sz w:val="24"/>
          <w:lang w:val="pl-PL"/>
        </w:rPr>
        <w:t>396/2005</w:t>
      </w:r>
      <w:r>
        <w:rPr>
          <w:rFonts w:ascii="Times New Roman"/>
          <w:b w:val="false"/>
          <w:i w:val="false"/>
          <w:color w:val="000000"/>
          <w:sz w:val="24"/>
          <w:lang w:val="pl-PL"/>
        </w:rPr>
        <w:t xml:space="preserve">, (WE) nr </w:t>
      </w:r>
      <w:r>
        <w:rPr>
          <w:rFonts w:ascii="Times New Roman"/>
          <w:b w:val="false"/>
          <w:i w:val="false"/>
          <w:color w:val="1b1b1b"/>
          <w:sz w:val="24"/>
          <w:lang w:val="pl-PL"/>
        </w:rPr>
        <w:t>1069/2009</w:t>
      </w:r>
      <w:r>
        <w:rPr>
          <w:rFonts w:ascii="Times New Roman"/>
          <w:b w:val="false"/>
          <w:i w:val="false"/>
          <w:color w:val="000000"/>
          <w:sz w:val="24"/>
          <w:lang w:val="pl-PL"/>
        </w:rPr>
        <w:t xml:space="preserve">, (WE) nr </w:t>
      </w:r>
      <w:r>
        <w:rPr>
          <w:rFonts w:ascii="Times New Roman"/>
          <w:b w:val="false"/>
          <w:i w:val="false"/>
          <w:color w:val="1b1b1b"/>
          <w:sz w:val="24"/>
          <w:lang w:val="pl-PL"/>
        </w:rPr>
        <w:t>1107/2009</w:t>
      </w:r>
      <w:r>
        <w:rPr>
          <w:rFonts w:ascii="Times New Roman"/>
          <w:b w:val="false"/>
          <w:i w:val="false"/>
          <w:color w:val="000000"/>
          <w:sz w:val="24"/>
          <w:lang w:val="pl-PL"/>
        </w:rPr>
        <w:t xml:space="preserve">, (UE) nr </w:t>
      </w:r>
      <w:r>
        <w:rPr>
          <w:rFonts w:ascii="Times New Roman"/>
          <w:b w:val="false"/>
          <w:i w:val="false"/>
          <w:color w:val="1b1b1b"/>
          <w:sz w:val="24"/>
          <w:lang w:val="pl-PL"/>
        </w:rPr>
        <w:t>1151/2012</w:t>
      </w:r>
      <w:r>
        <w:rPr>
          <w:rFonts w:ascii="Times New Roman"/>
          <w:b w:val="false"/>
          <w:i w:val="false"/>
          <w:color w:val="000000"/>
          <w:sz w:val="24"/>
          <w:lang w:val="pl-PL"/>
        </w:rPr>
        <w:t xml:space="preserve">, (UE) nr </w:t>
      </w:r>
      <w:r>
        <w:rPr>
          <w:rFonts w:ascii="Times New Roman"/>
          <w:b w:val="false"/>
          <w:i w:val="false"/>
          <w:color w:val="1b1b1b"/>
          <w:sz w:val="24"/>
          <w:lang w:val="pl-PL"/>
        </w:rPr>
        <w:t>652/2014</w:t>
      </w:r>
      <w:r>
        <w:rPr>
          <w:rFonts w:ascii="Times New Roman"/>
          <w:b w:val="false"/>
          <w:i w:val="false"/>
          <w:color w:val="000000"/>
          <w:sz w:val="24"/>
          <w:lang w:val="pl-PL"/>
        </w:rPr>
        <w:t xml:space="preserve">, (UE) </w:t>
      </w:r>
      <w:r>
        <w:rPr>
          <w:rFonts w:ascii="Times New Roman"/>
          <w:b w:val="false"/>
          <w:i w:val="false"/>
          <w:color w:val="1b1b1b"/>
          <w:sz w:val="24"/>
          <w:lang w:val="pl-PL"/>
        </w:rPr>
        <w:t>2016/429</w:t>
      </w:r>
      <w:r>
        <w:rPr>
          <w:rFonts w:ascii="Times New Roman"/>
          <w:b w:val="false"/>
          <w:i w:val="false"/>
          <w:color w:val="000000"/>
          <w:sz w:val="24"/>
          <w:lang w:val="pl-PL"/>
        </w:rPr>
        <w:t xml:space="preserve"> i (UE) </w:t>
      </w:r>
      <w:r>
        <w:rPr>
          <w:rFonts w:ascii="Times New Roman"/>
          <w:b w:val="false"/>
          <w:i w:val="false"/>
          <w:color w:val="1b1b1b"/>
          <w:sz w:val="24"/>
          <w:lang w:val="pl-PL"/>
        </w:rPr>
        <w:t>2016/2031</w:t>
      </w:r>
      <w:r>
        <w:rPr>
          <w:rFonts w:ascii="Times New Roman"/>
          <w:b w:val="false"/>
          <w:i w:val="false"/>
          <w:color w:val="000000"/>
          <w:sz w:val="24"/>
          <w:lang w:val="pl-PL"/>
        </w:rPr>
        <w:t xml:space="preserve">, rozporządzenia Rady (WE) nr </w:t>
      </w:r>
      <w:r>
        <w:rPr>
          <w:rFonts w:ascii="Times New Roman"/>
          <w:b w:val="false"/>
          <w:i w:val="false"/>
          <w:color w:val="1b1b1b"/>
          <w:sz w:val="24"/>
          <w:lang w:val="pl-PL"/>
        </w:rPr>
        <w:t>1/2005</w:t>
      </w:r>
      <w:r>
        <w:rPr>
          <w:rFonts w:ascii="Times New Roman"/>
          <w:b w:val="false"/>
          <w:i w:val="false"/>
          <w:color w:val="000000"/>
          <w:sz w:val="24"/>
          <w:lang w:val="pl-PL"/>
        </w:rPr>
        <w:t xml:space="preserve"> i (WE) nr </w:t>
      </w:r>
      <w:r>
        <w:rPr>
          <w:rFonts w:ascii="Times New Roman"/>
          <w:b w:val="false"/>
          <w:i w:val="false"/>
          <w:color w:val="1b1b1b"/>
          <w:sz w:val="24"/>
          <w:lang w:val="pl-PL"/>
        </w:rPr>
        <w:t>1099/2009</w:t>
      </w:r>
      <w:r>
        <w:rPr>
          <w:rFonts w:ascii="Times New Roman"/>
          <w:b w:val="false"/>
          <w:i w:val="false"/>
          <w:color w:val="000000"/>
          <w:sz w:val="24"/>
          <w:lang w:val="pl-PL"/>
        </w:rPr>
        <w:t xml:space="preserve"> oraz dyrektywy Rady </w:t>
      </w:r>
      <w:r>
        <w:rPr>
          <w:rFonts w:ascii="Times New Roman"/>
          <w:b w:val="false"/>
          <w:i w:val="false"/>
          <w:color w:val="1b1b1b"/>
          <w:sz w:val="24"/>
          <w:lang w:val="pl-PL"/>
        </w:rPr>
        <w:t>98/58/WE</w:t>
      </w:r>
      <w:r>
        <w:rPr>
          <w:rFonts w:ascii="Times New Roman"/>
          <w:b w:val="false"/>
          <w:i w:val="false"/>
          <w:color w:val="000000"/>
          <w:sz w:val="24"/>
          <w:lang w:val="pl-PL"/>
        </w:rPr>
        <w:t xml:space="preserve">, </w:t>
      </w:r>
      <w:r>
        <w:rPr>
          <w:rFonts w:ascii="Times New Roman"/>
          <w:b w:val="false"/>
          <w:i w:val="false"/>
          <w:color w:val="1b1b1b"/>
          <w:sz w:val="24"/>
          <w:lang w:val="pl-PL"/>
        </w:rPr>
        <w:t>1999/74/WE</w:t>
      </w:r>
      <w:r>
        <w:rPr>
          <w:rFonts w:ascii="Times New Roman"/>
          <w:b w:val="false"/>
          <w:i w:val="false"/>
          <w:color w:val="000000"/>
          <w:sz w:val="24"/>
          <w:lang w:val="pl-PL"/>
        </w:rPr>
        <w:t xml:space="preserve">, </w:t>
      </w:r>
      <w:r>
        <w:rPr>
          <w:rFonts w:ascii="Times New Roman"/>
          <w:b w:val="false"/>
          <w:i w:val="false"/>
          <w:color w:val="1b1b1b"/>
          <w:sz w:val="24"/>
          <w:lang w:val="pl-PL"/>
        </w:rPr>
        <w:t>2007/43/WE</w:t>
      </w:r>
      <w:r>
        <w:rPr>
          <w:rFonts w:ascii="Times New Roman"/>
          <w:b w:val="false"/>
          <w:i w:val="false"/>
          <w:color w:val="000000"/>
          <w:sz w:val="24"/>
          <w:lang w:val="pl-PL"/>
        </w:rPr>
        <w:t xml:space="preserve">, </w:t>
      </w:r>
      <w:r>
        <w:rPr>
          <w:rFonts w:ascii="Times New Roman"/>
          <w:b w:val="false"/>
          <w:i w:val="false"/>
          <w:color w:val="1b1b1b"/>
          <w:sz w:val="24"/>
          <w:lang w:val="pl-PL"/>
        </w:rPr>
        <w:t>2008/119/WE</w:t>
      </w:r>
      <w:r>
        <w:rPr>
          <w:rFonts w:ascii="Times New Roman"/>
          <w:b w:val="false"/>
          <w:i w:val="false"/>
          <w:color w:val="000000"/>
          <w:sz w:val="24"/>
          <w:lang w:val="pl-PL"/>
        </w:rPr>
        <w:t xml:space="preserve"> i </w:t>
      </w:r>
      <w:r>
        <w:rPr>
          <w:rFonts w:ascii="Times New Roman"/>
          <w:b w:val="false"/>
          <w:i w:val="false"/>
          <w:color w:val="1b1b1b"/>
          <w:sz w:val="24"/>
          <w:lang w:val="pl-PL"/>
        </w:rPr>
        <w:t>2008/120/WE</w:t>
      </w:r>
      <w:r>
        <w:rPr>
          <w:rFonts w:ascii="Times New Roman"/>
          <w:b w:val="false"/>
          <w:i w:val="false"/>
          <w:color w:val="000000"/>
          <w:sz w:val="24"/>
          <w:lang w:val="pl-PL"/>
        </w:rPr>
        <w:t xml:space="preserve">, oraz uchylającego rozporządzenia Parlamentu Europejskiego i Rady (WE) nr </w:t>
      </w:r>
      <w:r>
        <w:rPr>
          <w:rFonts w:ascii="Times New Roman"/>
          <w:b w:val="false"/>
          <w:i w:val="false"/>
          <w:color w:val="1b1b1b"/>
          <w:sz w:val="24"/>
          <w:lang w:val="pl-PL"/>
        </w:rPr>
        <w:t>854/2004</w:t>
      </w:r>
      <w:r>
        <w:rPr>
          <w:rFonts w:ascii="Times New Roman"/>
          <w:b w:val="false"/>
          <w:i w:val="false"/>
          <w:color w:val="000000"/>
          <w:sz w:val="24"/>
          <w:lang w:val="pl-PL"/>
        </w:rPr>
        <w:t xml:space="preserve"> i (WE) nr </w:t>
      </w:r>
      <w:r>
        <w:rPr>
          <w:rFonts w:ascii="Times New Roman"/>
          <w:b w:val="false"/>
          <w:i w:val="false"/>
          <w:color w:val="1b1b1b"/>
          <w:sz w:val="24"/>
          <w:lang w:val="pl-PL"/>
        </w:rPr>
        <w:t>882/2004</w:t>
      </w:r>
      <w:r>
        <w:rPr>
          <w:rFonts w:ascii="Times New Roman"/>
          <w:b w:val="false"/>
          <w:i w:val="false"/>
          <w:color w:val="000000"/>
          <w:sz w:val="24"/>
          <w:lang w:val="pl-PL"/>
        </w:rPr>
        <w:t xml:space="preserve">, dyrektywy Rady </w:t>
      </w:r>
      <w:r>
        <w:rPr>
          <w:rFonts w:ascii="Times New Roman"/>
          <w:b w:val="false"/>
          <w:i w:val="false"/>
          <w:color w:val="1b1b1b"/>
          <w:sz w:val="24"/>
          <w:lang w:val="pl-PL"/>
        </w:rPr>
        <w:t>89/608/EWG</w:t>
      </w:r>
      <w:r>
        <w:rPr>
          <w:rFonts w:ascii="Times New Roman"/>
          <w:b w:val="false"/>
          <w:i w:val="false"/>
          <w:color w:val="000000"/>
          <w:sz w:val="24"/>
          <w:lang w:val="pl-PL"/>
        </w:rPr>
        <w:t xml:space="preserve">, </w:t>
      </w:r>
      <w:r>
        <w:rPr>
          <w:rFonts w:ascii="Times New Roman"/>
          <w:b w:val="false"/>
          <w:i w:val="false"/>
          <w:color w:val="1b1b1b"/>
          <w:sz w:val="24"/>
          <w:lang w:val="pl-PL"/>
        </w:rPr>
        <w:t>89/662/EWG</w:t>
      </w:r>
      <w:r>
        <w:rPr>
          <w:rFonts w:ascii="Times New Roman"/>
          <w:b w:val="false"/>
          <w:i w:val="false"/>
          <w:color w:val="000000"/>
          <w:sz w:val="24"/>
          <w:lang w:val="pl-PL"/>
        </w:rPr>
        <w:t xml:space="preserve">, </w:t>
      </w:r>
      <w:r>
        <w:rPr>
          <w:rFonts w:ascii="Times New Roman"/>
          <w:b w:val="false"/>
          <w:i w:val="false"/>
          <w:color w:val="1b1b1b"/>
          <w:sz w:val="24"/>
          <w:lang w:val="pl-PL"/>
        </w:rPr>
        <w:t>90/425/EWG</w:t>
      </w:r>
      <w:r>
        <w:rPr>
          <w:rFonts w:ascii="Times New Roman"/>
          <w:b w:val="false"/>
          <w:i w:val="false"/>
          <w:color w:val="000000"/>
          <w:sz w:val="24"/>
          <w:lang w:val="pl-PL"/>
        </w:rPr>
        <w:t xml:space="preserve">, </w:t>
      </w:r>
      <w:r>
        <w:rPr>
          <w:rFonts w:ascii="Times New Roman"/>
          <w:b w:val="false"/>
          <w:i w:val="false"/>
          <w:color w:val="1b1b1b"/>
          <w:sz w:val="24"/>
          <w:lang w:val="pl-PL"/>
        </w:rPr>
        <w:t>91/496/EWG</w:t>
      </w:r>
      <w:r>
        <w:rPr>
          <w:rFonts w:ascii="Times New Roman"/>
          <w:b w:val="false"/>
          <w:i w:val="false"/>
          <w:color w:val="000000"/>
          <w:sz w:val="24"/>
          <w:lang w:val="pl-PL"/>
        </w:rPr>
        <w:t xml:space="preserve">, </w:t>
      </w:r>
      <w:r>
        <w:rPr>
          <w:rFonts w:ascii="Times New Roman"/>
          <w:b w:val="false"/>
          <w:i w:val="false"/>
          <w:color w:val="1b1b1b"/>
          <w:sz w:val="24"/>
          <w:lang w:val="pl-PL"/>
        </w:rPr>
        <w:t>96/23/WE</w:t>
      </w:r>
      <w:r>
        <w:rPr>
          <w:rFonts w:ascii="Times New Roman"/>
          <w:b w:val="false"/>
          <w:i w:val="false"/>
          <w:color w:val="000000"/>
          <w:sz w:val="24"/>
          <w:lang w:val="pl-PL"/>
        </w:rPr>
        <w:t xml:space="preserve">, </w:t>
      </w:r>
      <w:r>
        <w:rPr>
          <w:rFonts w:ascii="Times New Roman"/>
          <w:b w:val="false"/>
          <w:i w:val="false"/>
          <w:color w:val="1b1b1b"/>
          <w:sz w:val="24"/>
          <w:lang w:val="pl-PL"/>
        </w:rPr>
        <w:t>96/93/WE</w:t>
      </w:r>
      <w:r>
        <w:rPr>
          <w:rFonts w:ascii="Times New Roman"/>
          <w:b w:val="false"/>
          <w:i w:val="false"/>
          <w:color w:val="000000"/>
          <w:sz w:val="24"/>
          <w:lang w:val="pl-PL"/>
        </w:rPr>
        <w:t xml:space="preserve"> i </w:t>
      </w:r>
      <w:r>
        <w:rPr>
          <w:rFonts w:ascii="Times New Roman"/>
          <w:b w:val="false"/>
          <w:i w:val="false"/>
          <w:color w:val="1b1b1b"/>
          <w:sz w:val="24"/>
          <w:lang w:val="pl-PL"/>
        </w:rPr>
        <w:t>97/78/WE</w:t>
      </w:r>
      <w:r>
        <w:rPr>
          <w:rFonts w:ascii="Times New Roman"/>
          <w:b w:val="false"/>
          <w:i w:val="false"/>
          <w:color w:val="000000"/>
          <w:sz w:val="24"/>
          <w:lang w:val="pl-PL"/>
        </w:rPr>
        <w:t xml:space="preserve"> oraz </w:t>
      </w:r>
      <w:r>
        <w:rPr>
          <w:rFonts w:ascii="Times New Roman"/>
          <w:b w:val="false"/>
          <w:i w:val="false"/>
          <w:color w:val="1b1b1b"/>
          <w:sz w:val="24"/>
          <w:lang w:val="pl-PL"/>
        </w:rPr>
        <w:t>decyzję</w:t>
      </w:r>
      <w:r>
        <w:rPr>
          <w:rFonts w:ascii="Times New Roman"/>
          <w:b w:val="false"/>
          <w:i w:val="false"/>
          <w:color w:val="000000"/>
          <w:sz w:val="24"/>
          <w:lang w:val="pl-PL"/>
        </w:rPr>
        <w:t xml:space="preserve"> Rady 92/438/EWG (rozporządzenie w sprawie kontroli urzędowych);</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obejmującym zakup produktów lub usług sprawdzającym rzetelność usługi,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15 grudnia 2000 r. o Inspekcji Handlowej (Dz. U. z 2025 r. poz. 229);</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obejmującym sprzedaż dokonywaną poza punktem stałej lokalizacji (sprzedaż obwoźna i obnośna na targowiskach w rozumieniu </w:t>
      </w:r>
      <w:r>
        <w:rPr>
          <w:rFonts w:ascii="Times New Roman"/>
          <w:b w:val="false"/>
          <w:i w:val="false"/>
          <w:color w:val="1b1b1b"/>
          <w:sz w:val="24"/>
          <w:lang w:val="pl-PL"/>
        </w:rPr>
        <w:t>art. 15 ust. 2</w:t>
      </w:r>
      <w:r>
        <w:rPr>
          <w:rFonts w:ascii="Times New Roman"/>
          <w:b w:val="false"/>
          <w:i w:val="false"/>
          <w:color w:val="000000"/>
          <w:sz w:val="24"/>
          <w:lang w:val="pl-PL"/>
        </w:rPr>
        <w:t xml:space="preserve"> ustawy z dnia 12 stycznia 1991 r. o podatkach i opłatach lokalnych (Dz. U. z 2025 r. poz. 707).</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vertAlign w:val="superscript"/>
          <w:lang w:val="pl-PL"/>
        </w:rPr>
        <w:t>11</w:t>
      </w:r>
      <w:r>
        <w:rPr>
          <w:rFonts w:ascii="Times New Roman"/>
          <w:b w:val="false"/>
          <w:i w:val="false"/>
          <w:color w:val="000000"/>
          <w:sz w:val="24"/>
          <w:lang w:val="pl-PL"/>
        </w:rPr>
        <w:t xml:space="preserve"> </w:t>
      </w:r>
      <w:r>
        <w:rPr>
          <w:rFonts w:ascii="Times New Roman"/>
          <w:b w:val="false"/>
          <w:i w:val="false"/>
          <w:color w:val="000000"/>
          <w:sz w:val="24"/>
          <w:lang w:val="pl-PL"/>
        </w:rPr>
        <w:t xml:space="preserve">  Przepisów </w:t>
      </w:r>
      <w:r>
        <w:rPr>
          <w:rFonts w:ascii="Times New Roman"/>
          <w:b w:val="false"/>
          <w:i w:val="false"/>
          <w:color w:val="1b1b1b"/>
          <w:sz w:val="24"/>
          <w:lang w:val="pl-PL"/>
        </w:rPr>
        <w:t>art. 47-49</w:t>
      </w:r>
      <w:r>
        <w:rPr>
          <w:rFonts w:ascii="Times New Roman"/>
          <w:b w:val="false"/>
          <w:i w:val="false"/>
          <w:color w:val="000000"/>
          <w:sz w:val="24"/>
          <w:lang w:val="pl-PL"/>
        </w:rPr>
        <w:t xml:space="preserve">, </w:t>
      </w:r>
      <w:r>
        <w:rPr>
          <w:rFonts w:ascii="Times New Roman"/>
          <w:b w:val="false"/>
          <w:i w:val="false"/>
          <w:color w:val="1b1b1b"/>
          <w:sz w:val="24"/>
          <w:lang w:val="pl-PL"/>
        </w:rPr>
        <w:t>art. 51</w:t>
      </w:r>
      <w:r>
        <w:rPr>
          <w:rFonts w:ascii="Times New Roman"/>
          <w:b w:val="false"/>
          <w:i w:val="false"/>
          <w:color w:val="000000"/>
          <w:sz w:val="24"/>
          <w:lang w:val="pl-PL"/>
        </w:rPr>
        <w:t xml:space="preserve">, </w:t>
      </w:r>
      <w:r>
        <w:rPr>
          <w:rFonts w:ascii="Times New Roman"/>
          <w:b w:val="false"/>
          <w:i w:val="false"/>
          <w:color w:val="1b1b1b"/>
          <w:sz w:val="24"/>
          <w:lang w:val="pl-PL"/>
        </w:rPr>
        <w:t>art. 54-55a</w:t>
      </w:r>
      <w:r>
        <w:rPr>
          <w:rFonts w:ascii="Times New Roman"/>
          <w:b w:val="false"/>
          <w:i w:val="false"/>
          <w:color w:val="000000"/>
          <w:sz w:val="24"/>
          <w:lang w:val="pl-PL"/>
        </w:rPr>
        <w:t xml:space="preserve"> i </w:t>
      </w:r>
      <w:r>
        <w:rPr>
          <w:rFonts w:ascii="Times New Roman"/>
          <w:b w:val="false"/>
          <w:i w:val="false"/>
          <w:color w:val="1b1b1b"/>
          <w:sz w:val="24"/>
          <w:lang w:val="pl-PL"/>
        </w:rPr>
        <w:t>art. 57</w:t>
      </w:r>
      <w:r>
        <w:rPr>
          <w:rFonts w:ascii="Times New Roman"/>
          <w:b w:val="false"/>
          <w:i w:val="false"/>
          <w:color w:val="000000"/>
          <w:sz w:val="24"/>
          <w:lang w:val="pl-PL"/>
        </w:rPr>
        <w:t xml:space="preserve"> nie stosuje się do działalności gospodarczej przedsiębiorców w zakresie objętym nadzorem weterynaryjnym na podstawie: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t>
      </w:r>
      <w:r>
        <w:rPr>
          <w:rFonts w:ascii="Times New Roman"/>
          <w:b w:val="false"/>
          <w:i w:val="false"/>
          <w:color w:val="1b1b1b"/>
          <w:sz w:val="24"/>
          <w:lang w:val="pl-PL"/>
        </w:rPr>
        <w:t>ustawy</w:t>
      </w:r>
      <w:r>
        <w:rPr>
          <w:rFonts w:ascii="Times New Roman"/>
          <w:b w:val="false"/>
          <w:i w:val="false"/>
          <w:color w:val="000000"/>
          <w:sz w:val="24"/>
          <w:lang w:val="pl-PL"/>
        </w:rPr>
        <w:t xml:space="preserve"> z dnia 29 stycznia 2004 r. o Inspekcji Weterynaryjnej (Dz. U. z 2024 r. poz. 12);</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t>
      </w:r>
      <w:r>
        <w:rPr>
          <w:rFonts w:ascii="Times New Roman"/>
          <w:b w:val="false"/>
          <w:i w:val="false"/>
          <w:color w:val="1b1b1b"/>
          <w:sz w:val="24"/>
          <w:lang w:val="pl-PL"/>
        </w:rPr>
        <w:t>ustawy</w:t>
      </w:r>
      <w:r>
        <w:rPr>
          <w:rFonts w:ascii="Times New Roman"/>
          <w:b w:val="false"/>
          <w:i w:val="false"/>
          <w:color w:val="000000"/>
          <w:sz w:val="24"/>
          <w:lang w:val="pl-PL"/>
        </w:rPr>
        <w:t xml:space="preserve"> z dnia 21 sierpnia 1997 r. o ochronie zwierząt (Dz. U. z 2023 r. poz. 1580);</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t>
      </w:r>
      <w:r>
        <w:rPr>
          <w:rFonts w:ascii="Times New Roman"/>
          <w:b w:val="false"/>
          <w:i w:val="false"/>
          <w:color w:val="1b1b1b"/>
          <w:sz w:val="24"/>
          <w:lang w:val="pl-PL"/>
        </w:rPr>
        <w:t>ustawy</w:t>
      </w:r>
      <w:r>
        <w:rPr>
          <w:rFonts w:ascii="Times New Roman"/>
          <w:b w:val="false"/>
          <w:i w:val="false"/>
          <w:color w:val="000000"/>
          <w:sz w:val="24"/>
          <w:lang w:val="pl-PL"/>
        </w:rPr>
        <w:t xml:space="preserve"> z dnia 6 września 2001 r. - Prawo farmaceutyczne (Dz. U. z 2025 r. poz. 750, 905 i 924);</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(uchylony);</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(uchylony);</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w:t>
      </w:r>
      <w:r>
        <w:rPr>
          <w:rFonts w:ascii="Times New Roman"/>
          <w:b w:val="false"/>
          <w:i w:val="false"/>
          <w:color w:val="1b1b1b"/>
          <w:sz w:val="24"/>
          <w:lang w:val="pl-PL"/>
        </w:rPr>
        <w:t>ustawy</w:t>
      </w:r>
      <w:r>
        <w:rPr>
          <w:rFonts w:ascii="Times New Roman"/>
          <w:b w:val="false"/>
          <w:i w:val="false"/>
          <w:color w:val="000000"/>
          <w:sz w:val="24"/>
          <w:lang w:val="pl-PL"/>
        </w:rPr>
        <w:t xml:space="preserve"> z dnia 11 marca 2004 r. o ochronie zdrowia zwierząt oraz zwalczaniu chorób zakaźnych zwierząt (Dz. U. z 2023 r. poz. 1075);</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w:t>
      </w:r>
      <w:r>
        <w:rPr>
          <w:rFonts w:ascii="Times New Roman"/>
          <w:b w:val="false"/>
          <w:i w:val="false"/>
          <w:color w:val="1b1b1b"/>
          <w:sz w:val="24"/>
          <w:lang w:val="pl-PL"/>
        </w:rPr>
        <w:t>ustawy</w:t>
      </w:r>
      <w:r>
        <w:rPr>
          <w:rFonts w:ascii="Times New Roman"/>
          <w:b w:val="false"/>
          <w:i w:val="false"/>
          <w:color w:val="000000"/>
          <w:sz w:val="24"/>
          <w:lang w:val="pl-PL"/>
        </w:rPr>
        <w:t xml:space="preserve"> z dnia 16 grudnia 2005 r. o produktach pochodzenia zwierzęcego (Dz. U. z 2023 r. poz. 872);</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w:t>
      </w:r>
      <w:r>
        <w:rPr>
          <w:rFonts w:ascii="Times New Roman"/>
          <w:b w:val="false"/>
          <w:i w:val="false"/>
          <w:color w:val="1b1b1b"/>
          <w:sz w:val="24"/>
          <w:lang w:val="pl-PL"/>
        </w:rPr>
        <w:t>ustawy</w:t>
      </w:r>
      <w:r>
        <w:rPr>
          <w:rFonts w:ascii="Times New Roman"/>
          <w:b w:val="false"/>
          <w:i w:val="false"/>
          <w:color w:val="000000"/>
          <w:sz w:val="24"/>
          <w:lang w:val="pl-PL"/>
        </w:rPr>
        <w:t xml:space="preserve"> z dnia 22 lipca 2006 r. o paszach (Dz. U. z 2025 r. poz. 320);</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w:t>
      </w:r>
      <w:r>
        <w:rPr>
          <w:rFonts w:ascii="Times New Roman"/>
          <w:b w:val="false"/>
          <w:i w:val="false"/>
          <w:color w:val="1b1b1b"/>
          <w:sz w:val="24"/>
          <w:lang w:val="pl-PL"/>
        </w:rPr>
        <w:t>ustawy</w:t>
      </w:r>
      <w:r>
        <w:rPr>
          <w:rFonts w:ascii="Times New Roman"/>
          <w:b w:val="false"/>
          <w:i w:val="false"/>
          <w:color w:val="000000"/>
          <w:sz w:val="24"/>
          <w:lang w:val="pl-PL"/>
        </w:rPr>
        <w:t xml:space="preserve"> z dnia 15 stycznia 2015 r. o ochronie zwierząt wykorzystywanych do celów naukowych lub edukacyjnych (Dz. U. z 2023 r. poz. 465).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63.</w:t>
      </w:r>
      <w:r>
        <w:rPr>
          <w:rFonts w:ascii="Times New Roman"/>
          <w:b/>
          <w:i w:val="false"/>
          <w:color w:val="000000"/>
          <w:sz w:val="24"/>
          <w:lang w:val="pl-PL"/>
        </w:rPr>
        <w:t xml:space="preserve"> [Wyłączenie stosowania wybranych przepisów o kontroli]</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Przepisów </w:t>
      </w:r>
      <w:r>
        <w:rPr>
          <w:rFonts w:ascii="Times New Roman"/>
          <w:b w:val="false"/>
          <w:i w:val="false"/>
          <w:color w:val="1b1b1b"/>
          <w:sz w:val="24"/>
          <w:lang w:val="pl-PL"/>
        </w:rPr>
        <w:t>art. 48</w:t>
      </w:r>
      <w:r>
        <w:rPr>
          <w:rFonts w:ascii="Times New Roman"/>
          <w:b w:val="false"/>
          <w:i w:val="false"/>
          <w:color w:val="000000"/>
          <w:sz w:val="24"/>
          <w:lang w:val="pl-PL"/>
        </w:rPr>
        <w:t xml:space="preserve">, </w:t>
      </w:r>
      <w:r>
        <w:rPr>
          <w:rFonts w:ascii="Times New Roman"/>
          <w:b w:val="false"/>
          <w:i w:val="false"/>
          <w:color w:val="1b1b1b"/>
          <w:sz w:val="24"/>
          <w:lang w:val="pl-PL"/>
        </w:rPr>
        <w:t>art. 51</w:t>
      </w:r>
      <w:r>
        <w:rPr>
          <w:rFonts w:ascii="Times New Roman"/>
          <w:b w:val="false"/>
          <w:i w:val="false"/>
          <w:color w:val="000000"/>
          <w:sz w:val="24"/>
          <w:lang w:val="pl-PL"/>
        </w:rPr>
        <w:t xml:space="preserve">, </w:t>
      </w:r>
      <w:r>
        <w:rPr>
          <w:rFonts w:ascii="Times New Roman"/>
          <w:b w:val="false"/>
          <w:i w:val="false"/>
          <w:color w:val="1b1b1b"/>
          <w:sz w:val="24"/>
          <w:lang w:val="pl-PL"/>
        </w:rPr>
        <w:t>art. 54</w:t>
      </w:r>
      <w:r>
        <w:rPr>
          <w:rFonts w:ascii="Times New Roman"/>
          <w:b w:val="false"/>
          <w:i w:val="false"/>
          <w:color w:val="000000"/>
          <w:sz w:val="24"/>
          <w:lang w:val="pl-PL"/>
        </w:rPr>
        <w:t xml:space="preserve"> i </w:t>
      </w:r>
      <w:r>
        <w:rPr>
          <w:rFonts w:ascii="Times New Roman"/>
          <w:b w:val="false"/>
          <w:i w:val="false"/>
          <w:color w:val="1b1b1b"/>
          <w:sz w:val="24"/>
          <w:lang w:val="pl-PL"/>
        </w:rPr>
        <w:t>art. 55</w:t>
      </w:r>
      <w:r>
        <w:rPr>
          <w:rFonts w:ascii="Times New Roman"/>
          <w:b w:val="false"/>
          <w:i w:val="false"/>
          <w:color w:val="000000"/>
          <w:sz w:val="24"/>
          <w:lang w:val="pl-PL"/>
        </w:rPr>
        <w:t xml:space="preserve"> nie stosuje się do kontroli: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działalności leczniczej, prowadzonej przez organ prowadzący rejestr, wojewodę i podmiot tworzący w zakresie zadań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o działalności leczniczej;</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prowadzonej przez organy nadzoru górniczego na podstawie </w:t>
      </w:r>
      <w:r>
        <w:rPr>
          <w:rFonts w:ascii="Times New Roman"/>
          <w:b w:val="false"/>
          <w:i w:val="false"/>
          <w:color w:val="1b1b1b"/>
          <w:sz w:val="24"/>
          <w:lang w:val="pl-PL"/>
        </w:rPr>
        <w:t>przepisów</w:t>
      </w:r>
      <w:r>
        <w:rPr>
          <w:rFonts w:ascii="Times New Roman"/>
          <w:b w:val="false"/>
          <w:i w:val="false"/>
          <w:color w:val="000000"/>
          <w:sz w:val="24"/>
          <w:lang w:val="pl-PL"/>
        </w:rPr>
        <w:t xml:space="preserve"> prawa geologicznego i górniczego;</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przedsiębiorcy prowadzącego działalność w zakresie poszukiwania, rozpoznawania lub wydobywania kopalin objętych własnością górniczą lub podmiotu wykonującego w zakresie swojej działalności zawodowej powierzone mu przez tego przedsiębiorcę czynności w ruchu zakładu górniczego albo zakładu wykonującego roboty geologiczne, prowadzonej przez organy Inspekcji Ochrony Środowiska;</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działalności w zakresie zbierania, przetwarzania zużytego sprzętu, recyklingu lub innych niż recykling procesów odzysku odpadów powstałych ze zużytego sprzętu, prowadzonej przez organy Inspekcji Ochrony Środowiska, marszałka województwa oraz starostę w związku z kontrolą przestrzegania </w:t>
      </w:r>
      <w:r>
        <w:rPr>
          <w:rFonts w:ascii="Times New Roman"/>
          <w:b w:val="false"/>
          <w:i w:val="false"/>
          <w:color w:val="1b1b1b"/>
          <w:sz w:val="24"/>
          <w:lang w:val="pl-PL"/>
        </w:rPr>
        <w:t>przepisów</w:t>
      </w:r>
      <w:r>
        <w:rPr>
          <w:rFonts w:ascii="Times New Roman"/>
          <w:b w:val="false"/>
          <w:i w:val="false"/>
          <w:color w:val="000000"/>
          <w:sz w:val="24"/>
          <w:lang w:val="pl-PL"/>
        </w:rPr>
        <w:t xml:space="preserve"> dotyczących gospodarowania zużytym sprzętem.</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Przepisów </w:t>
      </w:r>
      <w:r>
        <w:rPr>
          <w:rFonts w:ascii="Times New Roman"/>
          <w:b w:val="false"/>
          <w:i w:val="false"/>
          <w:color w:val="1b1b1b"/>
          <w:sz w:val="24"/>
          <w:lang w:val="pl-PL"/>
        </w:rPr>
        <w:t>art. 48</w:t>
      </w:r>
      <w:r>
        <w:rPr>
          <w:rFonts w:ascii="Times New Roman"/>
          <w:b w:val="false"/>
          <w:i w:val="false"/>
          <w:color w:val="000000"/>
          <w:sz w:val="24"/>
          <w:lang w:val="pl-PL"/>
        </w:rPr>
        <w:t xml:space="preserve">, </w:t>
      </w:r>
      <w:r>
        <w:rPr>
          <w:rFonts w:ascii="Times New Roman"/>
          <w:b w:val="false"/>
          <w:i w:val="false"/>
          <w:color w:val="1b1b1b"/>
          <w:sz w:val="24"/>
          <w:lang w:val="pl-PL"/>
        </w:rPr>
        <w:t>art. 49</w:t>
      </w:r>
      <w:r>
        <w:rPr>
          <w:rFonts w:ascii="Times New Roman"/>
          <w:b w:val="false"/>
          <w:i w:val="false"/>
          <w:color w:val="000000"/>
          <w:sz w:val="24"/>
          <w:lang w:val="pl-PL"/>
        </w:rPr>
        <w:t xml:space="preserve">, </w:t>
      </w:r>
      <w:r>
        <w:rPr>
          <w:rFonts w:ascii="Times New Roman"/>
          <w:b w:val="false"/>
          <w:i w:val="false"/>
          <w:color w:val="1b1b1b"/>
          <w:sz w:val="24"/>
          <w:lang w:val="pl-PL"/>
        </w:rPr>
        <w:t>art. 51</w:t>
      </w:r>
      <w:r>
        <w:rPr>
          <w:rFonts w:ascii="Times New Roman"/>
          <w:b w:val="false"/>
          <w:i w:val="false"/>
          <w:color w:val="000000"/>
          <w:sz w:val="24"/>
          <w:lang w:val="pl-PL"/>
        </w:rPr>
        <w:t xml:space="preserve"> i </w:t>
      </w:r>
      <w:r>
        <w:rPr>
          <w:rFonts w:ascii="Times New Roman"/>
          <w:b w:val="false"/>
          <w:i w:val="false"/>
          <w:color w:val="1b1b1b"/>
          <w:sz w:val="24"/>
          <w:lang w:val="pl-PL"/>
        </w:rPr>
        <w:t>art. 53-55</w:t>
      </w:r>
      <w:r>
        <w:rPr>
          <w:rFonts w:ascii="Times New Roman"/>
          <w:b w:val="false"/>
          <w:i w:val="false"/>
          <w:color w:val="000000"/>
          <w:sz w:val="24"/>
          <w:lang w:val="pl-PL"/>
        </w:rPr>
        <w:t xml:space="preserve"> nie stosuje się do kontroli działalności leczniczej prowadzonej przez ministra właściwego do spraw zdrowia.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64.</w:t>
      </w:r>
      <w:r>
        <w:rPr>
          <w:rFonts w:ascii="Times New Roman"/>
          <w:b/>
          <w:i w:val="false"/>
          <w:color w:val="000000"/>
          <w:sz w:val="24"/>
          <w:lang w:val="pl-PL"/>
        </w:rPr>
        <w:t xml:space="preserve"> [Wyłączenie stosowania wybranych przepisów o kontroli w przypadku kontroli wszczętej na wniosek przedsiębiorcy oraz kontroli w zakresie realizacji programów polityki spójności]</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Przepisów </w:t>
      </w:r>
      <w:r>
        <w:rPr>
          <w:rFonts w:ascii="Times New Roman"/>
          <w:b w:val="false"/>
          <w:i w:val="false"/>
          <w:color w:val="1b1b1b"/>
          <w:sz w:val="24"/>
          <w:lang w:val="pl-PL"/>
        </w:rPr>
        <w:t>art. 48</w:t>
      </w:r>
      <w:r>
        <w:rPr>
          <w:rFonts w:ascii="Times New Roman"/>
          <w:b w:val="false"/>
          <w:i w:val="false"/>
          <w:color w:val="000000"/>
          <w:sz w:val="24"/>
          <w:lang w:val="pl-PL"/>
        </w:rPr>
        <w:t xml:space="preserve">, </w:t>
      </w:r>
      <w:r>
        <w:rPr>
          <w:rFonts w:ascii="Times New Roman"/>
          <w:b w:val="false"/>
          <w:i w:val="false"/>
          <w:color w:val="1b1b1b"/>
          <w:sz w:val="24"/>
          <w:lang w:val="pl-PL"/>
        </w:rPr>
        <w:t>art. 54 ust. 1</w:t>
      </w:r>
      <w:r>
        <w:rPr>
          <w:rFonts w:ascii="Times New Roman"/>
          <w:b w:val="false"/>
          <w:i w:val="false"/>
          <w:color w:val="000000"/>
          <w:sz w:val="24"/>
          <w:lang w:val="pl-PL"/>
        </w:rPr>
        <w:t xml:space="preserve"> i </w:t>
      </w:r>
      <w:r>
        <w:rPr>
          <w:rFonts w:ascii="Times New Roman"/>
          <w:b w:val="false"/>
          <w:i w:val="false"/>
          <w:color w:val="1b1b1b"/>
          <w:sz w:val="24"/>
          <w:lang w:val="pl-PL"/>
        </w:rPr>
        <w:t>art. 55 ust. 1</w:t>
      </w:r>
      <w:r>
        <w:rPr>
          <w:rFonts w:ascii="Times New Roman"/>
          <w:b w:val="false"/>
          <w:i w:val="false"/>
          <w:color w:val="000000"/>
          <w:sz w:val="24"/>
          <w:lang w:val="pl-PL"/>
        </w:rPr>
        <w:t xml:space="preserve"> nie stosuje się do kontroli prowadzonej w toku postępowania wszczętego na wniosek przedsiębiorcy we własnej sprawie oraz kontroli prowadzonej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11 lipca 2014 r. o zasadach realizacji programów w zakresie polityki spójności finansowanych w perspektywie finansowej 2014-2020 (Dz. U. z 2020 r. poz. 818).</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Przepis </w:t>
      </w:r>
      <w:r>
        <w:rPr>
          <w:rFonts w:ascii="Times New Roman"/>
          <w:b w:val="false"/>
          <w:i w:val="false"/>
          <w:color w:val="1b1b1b"/>
          <w:sz w:val="24"/>
          <w:lang w:val="pl-PL"/>
        </w:rPr>
        <w:t>ust. 1</w:t>
      </w:r>
      <w:r>
        <w:rPr>
          <w:rFonts w:ascii="Times New Roman"/>
          <w:b w:val="false"/>
          <w:i w:val="false"/>
          <w:color w:val="000000"/>
          <w:sz w:val="24"/>
          <w:lang w:val="pl-PL"/>
        </w:rPr>
        <w:t xml:space="preserve"> stosuje się odpowiednio także do kontroli prowadzonych w wyniku zawiadomienia, wezwania, zgłoszenia lub innej podobnej czynności dokonanej przez przedsiębiorcę we własnej sprawie.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65.</w:t>
      </w:r>
      <w:r>
        <w:rPr>
          <w:rFonts w:ascii="Times New Roman"/>
          <w:b/>
          <w:i w:val="false"/>
          <w:color w:val="000000"/>
          <w:sz w:val="24"/>
          <w:lang w:val="pl-PL"/>
        </w:rPr>
        <w:t xml:space="preserve"> [Wyłączenie stosowania przepisów w przypadku kontroli na podstawie przepisów Prawa atomowego, kontroli celno-skarbowej oraz kontroli w zakresie gospodarki odpadami]</w:t>
      </w:r>
    </w:p>
    <w:p>
      <w:pPr>
        <w:spacing w:after="0"/>
        <w:ind w:left="0"/>
        <w:jc w:val="left"/>
        <w:textAlignment w:val="auto"/>
      </w:pPr>
      <w:r>
        <w:rPr>
          <w:rFonts w:ascii="Times New Roman"/>
          <w:b w:val="false"/>
          <w:i w:val="false"/>
          <w:color w:val="000000"/>
          <w:sz w:val="24"/>
          <w:lang w:val="pl-PL"/>
        </w:rPr>
        <w:t> Przepisów niniejszego rozdziału nie stosuje się do kontroli: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prowadzonej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29 listopada 2000 r. - Prawo atomowe (Dz. U. z 2024 r. poz. 1277, 1897 i 1907);</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celno-skarbowej prowadzonej w trybie określonym w </w:t>
      </w:r>
      <w:r>
        <w:rPr>
          <w:rFonts w:ascii="Times New Roman"/>
          <w:b w:val="false"/>
          <w:i w:val="false"/>
          <w:color w:val="1b1b1b"/>
          <w:sz w:val="24"/>
          <w:lang w:val="pl-PL"/>
        </w:rPr>
        <w:t>dziale V rozdziale 1</w:t>
      </w:r>
      <w:r>
        <w:rPr>
          <w:rFonts w:ascii="Times New Roman"/>
          <w:b w:val="false"/>
          <w:i w:val="false"/>
          <w:color w:val="000000"/>
          <w:sz w:val="24"/>
          <w:lang w:val="pl-PL"/>
        </w:rPr>
        <w:t xml:space="preserve"> </w:t>
      </w:r>
      <w:r>
        <w:rPr>
          <w:rFonts w:ascii="Times New Roman"/>
          <w:b w:val="false"/>
          <w:i w:val="false"/>
          <w:color w:val="1b1b1b"/>
          <w:sz w:val="24"/>
          <w:lang w:val="pl-PL"/>
        </w:rPr>
        <w:t>ustawy</w:t>
      </w:r>
      <w:r>
        <w:rPr>
          <w:rFonts w:ascii="Times New Roman"/>
          <w:b w:val="false"/>
          <w:i w:val="false"/>
          <w:color w:val="000000"/>
          <w:sz w:val="24"/>
          <w:lang w:val="pl-PL"/>
        </w:rPr>
        <w:t xml:space="preserve"> z dnia 16 listopada 2016 r. o Krajowej Administracji Skarbowej;</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prowadzonej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20 lipca 1991 r. o Inspekcji Ochrony Środowiska w zakresie gospodarki odpadami.</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6</w:t>
      </w:r>
    </w:p>
    <w:p>
      <w:pPr>
        <w:spacing w:before="25" w:after="0"/>
        <w:ind w:left="0"/>
        <w:jc w:val="center"/>
        <w:textAlignment w:val="auto"/>
      </w:pPr>
      <w:r>
        <w:rPr>
          <w:rFonts w:ascii="Times New Roman"/>
          <w:b/>
          <w:i w:val="false"/>
          <w:color w:val="000000"/>
          <w:sz w:val="24"/>
          <w:lang w:val="pl-PL"/>
        </w:rPr>
        <w:t>Zasady opracowywania projektów aktów normatywnych z zakresu prawa gospodarczego oraz oceny ich funkcjonowania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66.</w:t>
      </w:r>
      <w:r>
        <w:rPr>
          <w:rFonts w:ascii="Times New Roman"/>
          <w:b/>
          <w:i w:val="false"/>
          <w:color w:val="000000"/>
          <w:sz w:val="24"/>
          <w:lang w:val="pl-PL"/>
        </w:rPr>
        <w:t xml:space="preserve"> [Oceny i analizy wykonywane przed rozpoczęciem prac nad opracowaniem projektu aktu normatywnego]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Przed rozpoczęciem prac nad opracowaniem projektu aktu normatywnego określającego zasady podejmowania, wykonywania lub zakończenia działalności gospodarczej dokonuje się:</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analizy możliwości osiągnięcia celu tego aktu normatywnego za pomocą innych środków;</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oceny przewidywanych skutków społeczno-gospodarczych, w tym oceny wpływu na mikroprzedsiębiorców, małych i średnich przedsiębiorców oraz analizy zgodności projektowanych regulacji z przepisami ustawy.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Wyniki oceny i analiz, o których mowa w </w:t>
      </w:r>
      <w:r>
        <w:rPr>
          <w:rFonts w:ascii="Times New Roman"/>
          <w:b w:val="false"/>
          <w:i w:val="false"/>
          <w:color w:val="1b1b1b"/>
          <w:sz w:val="24"/>
          <w:lang w:val="pl-PL"/>
        </w:rPr>
        <w:t>ust. 1</w:t>
      </w:r>
      <w:r>
        <w:rPr>
          <w:rFonts w:ascii="Times New Roman"/>
          <w:b w:val="false"/>
          <w:i w:val="false"/>
          <w:color w:val="000000"/>
          <w:sz w:val="24"/>
          <w:lang w:val="pl-PL"/>
        </w:rPr>
        <w:t>, zamieszcza się w uzasadnieniu do projektu aktu normatywnego lub w ocenie skutków regulacji, stanowiącej odrębną część uzasadnienia projektu aktu normatywnego.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67.</w:t>
      </w:r>
      <w:r>
        <w:rPr>
          <w:rFonts w:ascii="Times New Roman"/>
          <w:b/>
          <w:i w:val="false"/>
          <w:color w:val="000000"/>
          <w:sz w:val="24"/>
          <w:lang w:val="pl-PL"/>
        </w:rPr>
        <w:t xml:space="preserve"> [Zasady proporcjonalności i adekwatności projektowanych rozwiązań oraz równoważenia obowiązków administracyjnych]</w:t>
      </w:r>
    </w:p>
    <w:p>
      <w:pPr>
        <w:spacing w:after="0"/>
        <w:ind w:left="0"/>
        <w:jc w:val="left"/>
        <w:textAlignment w:val="auto"/>
      </w:pPr>
      <w:r>
        <w:rPr>
          <w:rFonts w:ascii="Times New Roman"/>
          <w:b w:val="false"/>
          <w:i w:val="false"/>
          <w:color w:val="000000"/>
          <w:sz w:val="24"/>
          <w:lang w:val="pl-PL"/>
        </w:rPr>
        <w:t> Przy opracowywaniu projektu aktu normatywnego określającego zasady podejmowania, wykonywania lub zakończenia działalności gospodarczej należy kierować się zasadami proporcjonalności, adekwatności i równoważenia obowiązków administracyjnych,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dążyć do nienakładania nowych obowiązków administracyjnych, a jeżeli nie jest to możliwe, dążyć do:</w:t>
      </w:r>
    </w:p>
    <w:p>
      <w:pPr>
        <w:spacing w:after="0"/>
        <w:ind w:left="746"/>
        <w:jc w:val="left"/>
        <w:textAlignment w:val="auto"/>
      </w:pPr>
      <w:r>
        <w:rPr>
          <w:rFonts w:ascii="Times New Roman"/>
          <w:b w:val="false"/>
          <w:i w:val="false"/>
          <w:color w:val="000000"/>
          <w:sz w:val="24"/>
          <w:lang w:val="pl-PL"/>
        </w:rPr>
        <w:t>a)</w:t>
      </w:r>
      <w:r>
        <w:rPr>
          <w:rFonts w:ascii="Times New Roman"/>
          <w:b w:val="false"/>
          <w:i w:val="false"/>
          <w:color w:val="000000"/>
          <w:sz w:val="24"/>
          <w:lang w:val="pl-PL"/>
        </w:rPr>
        <w:t xml:space="preserve"> nakładania obowiązków administracyjnych jedynie w stopniu koniecznym do osiągnięcia ich celów oraz</w:t>
      </w:r>
    </w:p>
    <w:p>
      <w:pPr>
        <w:spacing w:after="0"/>
        <w:ind w:left="746"/>
        <w:jc w:val="left"/>
        <w:textAlignment w:val="auto"/>
      </w:pPr>
      <w:r>
        <w:rPr>
          <w:rFonts w:ascii="Times New Roman"/>
          <w:b w:val="false"/>
          <w:i w:val="false"/>
          <w:color w:val="000000"/>
          <w:sz w:val="24"/>
          <w:lang w:val="pl-PL"/>
        </w:rPr>
        <w:t>b)</w:t>
      </w:r>
      <w:r>
        <w:rPr>
          <w:rFonts w:ascii="Times New Roman"/>
          <w:b w:val="false"/>
          <w:i w:val="false"/>
          <w:color w:val="000000"/>
          <w:sz w:val="24"/>
          <w:lang w:val="pl-PL"/>
        </w:rPr>
        <w:t xml:space="preserve"> równoważnego zmniejszenia innych obciążeń administracyjnych wynikających z uregulowań prawnych obowiązujących w danej dziedzinie;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dążyć do ograniczenia obowiązków informacyjnych, zwłaszcza gdy wymagane informacje są przekazywane przez obowiązanych organom władzy publicznej na podstawie obowiązujących przepisów;</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dążyć do umożliwienia realizacji obowiązków informacyjnych w postaci elektronicznej;</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implementując prawo Unii Europejskiej i prawo międzynarodowe, dążyć do nakładania wyłącznie obowiązków administracyjnych niezbędnych do osiągnięcia celów implementowanych przepisów.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68.</w:t>
      </w:r>
      <w:r>
        <w:rPr>
          <w:rFonts w:ascii="Times New Roman"/>
          <w:b/>
          <w:i w:val="false"/>
          <w:color w:val="000000"/>
          <w:sz w:val="24"/>
          <w:lang w:val="pl-PL"/>
        </w:rPr>
        <w:t xml:space="preserve"> [Ograniczanie obowiązków administracyjnych wobec mikro-, małych i średnich przedsiębiorców]</w:t>
      </w:r>
    </w:p>
    <w:p>
      <w:pPr>
        <w:spacing w:after="0"/>
        <w:ind w:left="0"/>
        <w:jc w:val="left"/>
        <w:textAlignment w:val="auto"/>
      </w:pPr>
      <w:r>
        <w:rPr>
          <w:rFonts w:ascii="Times New Roman"/>
          <w:b w:val="false"/>
          <w:i w:val="false"/>
          <w:color w:val="000000"/>
          <w:sz w:val="24"/>
          <w:lang w:val="pl-PL"/>
        </w:rPr>
        <w:t> W przypadku stwierdzenia wpływu projektu aktu normatywnego na mikroprzedsiębiorców, małych i średnich przedsiębiorców, przy opracowaniu projektu aktu normatywnego dąży się do proporcjonalnego ograniczania obowiązków administracyjnych wobec tych przedsiębiorców albo uzasadnia brak możliwości zastosowania takich ograniczeń.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68a.</w:t>
      </w:r>
      <w:r>
        <w:rPr>
          <w:rFonts w:ascii="Times New Roman"/>
          <w:b/>
          <w:i w:val="false"/>
          <w:color w:val="000000"/>
          <w:sz w:val="24"/>
          <w:lang w:val="pl-PL"/>
        </w:rPr>
        <w:t xml:space="preserve"> [Ocena projektu aktu normatywnego pod kątem notyfikacji usługowej; obowiązkowa ocena funkcjonowania aktu normatywnego w przypadku odstąpienia od przeprowadzenia konsultacji publicznych projektów ustaw]</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Przyjmowane przez Radę Ministrów projekty aktów normatywnych, które określają zasady podejmowania, wykonywania lub zakończenia działalności gospodarczej, zawierają w uzasadnieniu projektu aktu normatywnego lub ocenie skutków regulacji, stanowiącej odrębną część uzasadnienia projektu aktu normatywnego:</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ocenę wnioskodawcy, czy projekt zawiera wymogi nakładane na usługodawców, o których należy powiadomić za pośrednictwem Systemu Wymiany Informacji na Rynku Wewnętrznym IMI, w zakresie określonym w </w:t>
      </w:r>
      <w:r>
        <w:rPr>
          <w:rFonts w:ascii="Times New Roman"/>
          <w:b w:val="false"/>
          <w:i w:val="false"/>
          <w:color w:val="1b1b1b"/>
          <w:sz w:val="24"/>
          <w:lang w:val="pl-PL"/>
        </w:rPr>
        <w:t>art. 3 ust. 1</w:t>
      </w:r>
      <w:r>
        <w:rPr>
          <w:rFonts w:ascii="Times New Roman"/>
          <w:b w:val="false"/>
          <w:i w:val="false"/>
          <w:color w:val="000000"/>
          <w:sz w:val="24"/>
          <w:lang w:val="pl-PL"/>
        </w:rPr>
        <w:t xml:space="preserve"> rozporządzenia Parlamentu Europejskiego i Rady (UE) nr 1024/2012 z dnia 25 października 2012 r. w sprawie współpracy administracyjnej za pośrednictwem systemu wymiany informacji na rynku wewnętrznym i uchylającego decyzję Komisji 2008/49/WE ("rozporządzenie w sprawie IMI") (Dz. Urz. UE L 316 z 14.11.2012, str. 1);</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wskazanie zakresu oceny funkcjonowania tego aktu normatywnego lub jego części, mierników określających stopień realizacji jego celów oraz terminu przygotowania takiej oceny albo informację o braku zasadności jej przygotowania.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przypadku odstąpienia od przeprowadzenia konsultacji publicznych projektów, o których mowa w </w:t>
      </w:r>
      <w:r>
        <w:rPr>
          <w:rFonts w:ascii="Times New Roman"/>
          <w:b w:val="false"/>
          <w:i w:val="false"/>
          <w:color w:val="1b1b1b"/>
          <w:sz w:val="24"/>
          <w:lang w:val="pl-PL"/>
        </w:rPr>
        <w:t>ust. 1</w:t>
      </w:r>
      <w:r>
        <w:rPr>
          <w:rFonts w:ascii="Times New Roman"/>
          <w:b w:val="false"/>
          <w:i w:val="false"/>
          <w:color w:val="000000"/>
          <w:sz w:val="24"/>
          <w:lang w:val="pl-PL"/>
        </w:rPr>
        <w:t>, w uzasadnieniu projektu aktu normatywnego lub ocenie skutków regulacji, stanowiącej odrębną część uzasadnienia projektu aktu normatywnego:</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wskazuje się przyczyny tego odstąpienia;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nie można odstąpić od wskazania zakresu, mierników i terminu, o których mowa w </w:t>
      </w:r>
      <w:r>
        <w:rPr>
          <w:rFonts w:ascii="Times New Roman"/>
          <w:b w:val="false"/>
          <w:i w:val="false"/>
          <w:color w:val="1b1b1b"/>
          <w:sz w:val="24"/>
          <w:lang w:val="pl-PL"/>
        </w:rPr>
        <w:t>ust. 1 pkt 2</w:t>
      </w:r>
      <w:r>
        <w:rPr>
          <w:rFonts w:ascii="Times New Roman"/>
          <w:b w:val="false"/>
          <w:i w:val="false"/>
          <w:color w:val="000000"/>
          <w:sz w:val="24"/>
          <w:lang w:val="pl-PL"/>
        </w:rPr>
        <w:t>, przy czym termin ten nie może być dłuższy niż dwa lata od dnia wejścia w życie tego aktu normatywnego.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68b.</w:t>
      </w:r>
      <w:r>
        <w:rPr>
          <w:rFonts w:ascii="Times New Roman"/>
          <w:b/>
          <w:i w:val="false"/>
          <w:color w:val="000000"/>
          <w:sz w:val="24"/>
          <w:lang w:val="pl-PL"/>
        </w:rPr>
        <w:t xml:space="preserve"> [Vacatio legis projektów ustaw]</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 przedkładanych Sejmowi projektach ustaw, które określają zasady podejmowania, wykonywania lub zakończenia działalności gospodarczej, termin wejścia w życie przepisów, z których wynika zwiększenie obciążeń regulacyjnych dla przedsiębiorców, wyznacza się na dzień przypadający nie wcześniej niż po upływie 6 miesięcy od dnia ogłoszenia.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Odstąpienie od zasady wyznaczania terminu wejścia w życie określonej w </w:t>
      </w:r>
      <w:r>
        <w:rPr>
          <w:rFonts w:ascii="Times New Roman"/>
          <w:b w:val="false"/>
          <w:i w:val="false"/>
          <w:color w:val="1b1b1b"/>
          <w:sz w:val="24"/>
          <w:lang w:val="pl-PL"/>
        </w:rPr>
        <w:t>ust. 1</w:t>
      </w:r>
      <w:r>
        <w:rPr>
          <w:rFonts w:ascii="Times New Roman"/>
          <w:b w:val="false"/>
          <w:i w:val="false"/>
          <w:color w:val="000000"/>
          <w:sz w:val="24"/>
          <w:lang w:val="pl-PL"/>
        </w:rPr>
        <w:t xml:space="preserve"> może nastąpić, jeżeli: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przemawia za tym ważny interes publiczny;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wynika to z konieczności implementacji lub wykonania przepisów prawa Unii Europejskiej.</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 przypadku, o którym mowa w </w:t>
      </w:r>
      <w:r>
        <w:rPr>
          <w:rFonts w:ascii="Times New Roman"/>
          <w:b w:val="false"/>
          <w:i w:val="false"/>
          <w:color w:val="1b1b1b"/>
          <w:sz w:val="24"/>
          <w:lang w:val="pl-PL"/>
        </w:rPr>
        <w:t>ust. 2</w:t>
      </w:r>
      <w:r>
        <w:rPr>
          <w:rFonts w:ascii="Times New Roman"/>
          <w:b w:val="false"/>
          <w:i w:val="false"/>
          <w:color w:val="000000"/>
          <w:sz w:val="24"/>
          <w:lang w:val="pl-PL"/>
        </w:rPr>
        <w:t xml:space="preserve">, w uzasadnieniu projektu ustawy przedstawia się przyczyny odstąpienia od zasady wyznaczania terminu wejścia w życie określonej w </w:t>
      </w:r>
      <w:r>
        <w:rPr>
          <w:rFonts w:ascii="Times New Roman"/>
          <w:b w:val="false"/>
          <w:i w:val="false"/>
          <w:color w:val="1b1b1b"/>
          <w:sz w:val="24"/>
          <w:lang w:val="pl-PL"/>
        </w:rPr>
        <w:t>ust. 1</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69.</w:t>
      </w:r>
      <w:r>
        <w:rPr>
          <w:rFonts w:ascii="Times New Roman"/>
          <w:b/>
          <w:i w:val="false"/>
          <w:color w:val="000000"/>
          <w:sz w:val="24"/>
          <w:lang w:val="pl-PL"/>
        </w:rPr>
        <w:t xml:space="preserve"> [Wniosek Rzecznika Małych i Średnich Przedsiębiorców o przygotowanie oceny funkcjonowania aktu normatywnego]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Jeżeli w związku ze stosowaniem aktu normatywnego określającego zasady podejmowania, wykonywania lub zakończenia działalności gospodarczej ujawnią się istotne rozbieżności w wykładni prawa lub znaczne ryzyko, że ten akt normatywny powoduje istotne negatywne skutki gospodarcze lub społeczne, Rzecznik Małych i Średnich Przedsiębiorców może skierować do właściwego ministra lub organu upoważnionego ustawowo do opracowywania i wnoszenia do rozpatrzenia przez Radę Ministrów projektów aktów normatywnych wniosek o przygotowanie oceny funkcjonowania tego aktu normatywnego lub jego części, wraz z uzasadnieniem.</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Organ, do którego Rzecznik Małych i Średnich Przedsiębiorców skierował wniosek, o którym mowa w </w:t>
      </w:r>
      <w:r>
        <w:rPr>
          <w:rFonts w:ascii="Times New Roman"/>
          <w:b w:val="false"/>
          <w:i w:val="false"/>
          <w:color w:val="1b1b1b"/>
          <w:sz w:val="24"/>
          <w:lang w:val="pl-PL"/>
        </w:rPr>
        <w:t>ust. 1</w:t>
      </w:r>
      <w:r>
        <w:rPr>
          <w:rFonts w:ascii="Times New Roman"/>
          <w:b w:val="false"/>
          <w:i w:val="false"/>
          <w:color w:val="000000"/>
          <w:sz w:val="24"/>
          <w:lang w:val="pl-PL"/>
        </w:rPr>
        <w:t>, przygotowuje ocenę funkcjonowania właściwego aktu normatywnego lub jego części albo uzasadnia niecelowość przygotowania takiej oceny.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70.</w:t>
      </w:r>
      <w:r>
        <w:rPr>
          <w:rFonts w:ascii="Times New Roman"/>
          <w:b/>
          <w:i w:val="false"/>
          <w:color w:val="000000"/>
          <w:sz w:val="24"/>
          <w:lang w:val="pl-PL"/>
        </w:rPr>
        <w:t xml:space="preserve"> [Bieżący przegląd funkcjonowania aktów normatywnych]</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Ministrowie kierujący działami administracji rządowej dokonują, w zakresie swojej właściwości, bieżącego przeglądu funkcjonowania aktów normatywnych określających zasady podejmowania, wykonywania lub zakończenia działalności gospodarczej, kierując się w szczególności zasadami określonymi w </w:t>
      </w:r>
      <w:r>
        <w:rPr>
          <w:rFonts w:ascii="Times New Roman"/>
          <w:b w:val="false"/>
          <w:i w:val="false"/>
          <w:color w:val="1b1b1b"/>
          <w:sz w:val="24"/>
          <w:lang w:val="pl-PL"/>
        </w:rPr>
        <w:t>art. 67</w:t>
      </w:r>
      <w:r>
        <w:rPr>
          <w:rFonts w:ascii="Times New Roman"/>
          <w:b w:val="false"/>
          <w:i w:val="false"/>
          <w:color w:val="000000"/>
          <w:sz w:val="24"/>
          <w:lang w:val="pl-PL"/>
        </w:rPr>
        <w:t>, oraz przedkładają ministrowi właściwemu do spraw gospodarki corocznie, w terminie do dnia 30 czerwca, informację o wynikach tego przeglądu za poprzedni rok kalendarzowy.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Informację, o której mowa w </w:t>
      </w:r>
      <w:r>
        <w:rPr>
          <w:rFonts w:ascii="Times New Roman"/>
          <w:b w:val="false"/>
          <w:i w:val="false"/>
          <w:color w:val="1b1b1b"/>
          <w:sz w:val="24"/>
          <w:lang w:val="pl-PL"/>
        </w:rPr>
        <w:t>ust. 1</w:t>
      </w:r>
      <w:r>
        <w:rPr>
          <w:rFonts w:ascii="Times New Roman"/>
          <w:b w:val="false"/>
          <w:i w:val="false"/>
          <w:color w:val="000000"/>
          <w:sz w:val="24"/>
          <w:lang w:val="pl-PL"/>
        </w:rPr>
        <w:t>, przedstawia się na formularzu, którego wzór zamieszcza minister właściwy do spraw gospodarki w Biuletynie Informacji Publicznej na stronie podmiotowej urzędu go obsługującego.</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Informacja, o której mowa w </w:t>
      </w:r>
      <w:r>
        <w:rPr>
          <w:rFonts w:ascii="Times New Roman"/>
          <w:b w:val="false"/>
          <w:i w:val="false"/>
          <w:color w:val="1b1b1b"/>
          <w:sz w:val="24"/>
          <w:lang w:val="pl-PL"/>
        </w:rPr>
        <w:t>ust. 1</w:t>
      </w:r>
      <w:r>
        <w:rPr>
          <w:rFonts w:ascii="Times New Roman"/>
          <w:b w:val="false"/>
          <w:i w:val="false"/>
          <w:color w:val="000000"/>
          <w:sz w:val="24"/>
          <w:lang w:val="pl-PL"/>
        </w:rPr>
        <w:t>, zawiera:</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wskazanie aktów normatywnych, które wpływają na mikroprzedsiębiorców, małych i średnich przedsiębiorców;</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wskazanie aktów normatywnych, które nakładają na przedsiębiorców obowiązki administracyjne, w tym obowiązki informacyjne;</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wskazanie aktów normatywnych, w stosunku do których zaplanowano przeprowadzenie oceny ich funkcjonowania lub oceny funkcjonowania ich części;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inne informacje mające znaczenie dla przedstawienia wyników przeglądu.</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Minister właściwy do spraw gospodarki przekazuje informacje przedłożone mu przez ministrów kierujących działami administracji rządowej zgodnie z </w:t>
      </w:r>
      <w:r>
        <w:rPr>
          <w:rFonts w:ascii="Times New Roman"/>
          <w:b w:val="false"/>
          <w:i w:val="false"/>
          <w:color w:val="1b1b1b"/>
          <w:sz w:val="24"/>
          <w:lang w:val="pl-PL"/>
        </w:rPr>
        <w:t>ust. 1</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Radzie Dialogu Społecznego, o której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24 lipca 2015 r. o Radzie Dialogu Społecznego i innych instytucjach dialogu społecznego (Dz. U. z 2018 r. poz. 2232, z późn. zm.),</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Radzie Legislacyjnej, o której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8 sierpnia 1996 r. o Radzie Ministrów (Dz. U. z 2025 r. poz. 780),</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Radzie Działalności Pożytku Publicznego, o której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24 kwietnia 2003 r. o działalności pożytku publicznego i o wolontariacie (Dz. U. z 2025 r. poz. 1338),</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Rzecznikowi Małych i Średnich Przedsiębiorców</w:t>
      </w:r>
    </w:p>
    <w:p>
      <w:pPr>
        <w:spacing w:before="25" w:after="0"/>
        <w:ind w:left="0"/>
        <w:jc w:val="left"/>
        <w:textAlignment w:val="auto"/>
      </w:pPr>
      <w:r>
        <w:rPr>
          <w:rFonts w:ascii="Times New Roman"/>
          <w:b w:val="false"/>
          <w:i w:val="false"/>
          <w:color w:val="000000"/>
          <w:sz w:val="24"/>
          <w:lang w:val="pl-PL"/>
        </w:rPr>
        <w:t>- wskazując termin do wyrażenia opinii nie krótszy niż 30 dni od dnia przekazania informacji.</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Minister właściwy do spraw gospodarki zajmuje stanowisko wobec opinii, o których mowa w </w:t>
      </w:r>
      <w:r>
        <w:rPr>
          <w:rFonts w:ascii="Times New Roman"/>
          <w:b w:val="false"/>
          <w:i w:val="false"/>
          <w:color w:val="1b1b1b"/>
          <w:sz w:val="24"/>
          <w:lang w:val="pl-PL"/>
        </w:rPr>
        <w:t>ust. 4</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Minister właściwy do spraw gospodarki przedkłada Radzie Ministrów i zamieszcza w Biuletynie Informacji Publicznej na stronie podmiotowej urzędu go obsługującego:</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informacje o wynikach przeglądu przedłożone mu przez ministrów kierujących działami administracji rządowej zgodnie z </w:t>
      </w:r>
      <w:r>
        <w:rPr>
          <w:rFonts w:ascii="Times New Roman"/>
          <w:b w:val="false"/>
          <w:i w:val="false"/>
          <w:color w:val="1b1b1b"/>
          <w:sz w:val="24"/>
          <w:lang w:val="pl-PL"/>
        </w:rPr>
        <w:t>ust. 1</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opinie, o których mowa w </w:t>
      </w:r>
      <w:r>
        <w:rPr>
          <w:rFonts w:ascii="Times New Roman"/>
          <w:b w:val="false"/>
          <w:i w:val="false"/>
          <w:color w:val="1b1b1b"/>
          <w:sz w:val="24"/>
          <w:lang w:val="pl-PL"/>
        </w:rPr>
        <w:t>ust. 4</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stanowisko, o którym mowa w </w:t>
      </w:r>
      <w:r>
        <w:rPr>
          <w:rFonts w:ascii="Times New Roman"/>
          <w:b w:val="false"/>
          <w:i w:val="false"/>
          <w:color w:val="1b1b1b"/>
          <w:sz w:val="24"/>
          <w:lang w:val="pl-PL"/>
        </w:rPr>
        <w:t>ust. 5</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71.</w:t>
      </w:r>
      <w:r>
        <w:rPr>
          <w:rFonts w:ascii="Times New Roman"/>
          <w:b/>
          <w:i w:val="false"/>
          <w:color w:val="000000"/>
          <w:sz w:val="24"/>
          <w:lang w:val="pl-PL"/>
        </w:rPr>
        <w:t xml:space="preserve"> [Wyłączenie stosowania przepisów do wykonywania inicjatywy ustawodawczej przez obywateli]</w:t>
      </w:r>
    </w:p>
    <w:p>
      <w:pPr>
        <w:spacing w:after="0"/>
        <w:ind w:left="0"/>
        <w:jc w:val="left"/>
        <w:textAlignment w:val="auto"/>
      </w:pPr>
      <w:r>
        <w:rPr>
          <w:rFonts w:ascii="Times New Roman"/>
          <w:b w:val="false"/>
          <w:i w:val="false"/>
          <w:color w:val="000000"/>
          <w:sz w:val="24"/>
          <w:lang w:val="pl-PL"/>
        </w:rPr>
        <w:t xml:space="preserve"> Przepisów niniejszego rozdziału nie stosuje się do wykonywania inicjatywy ustawodawczej przez obywateli, o której mowa w </w:t>
      </w:r>
      <w:r>
        <w:rPr>
          <w:rFonts w:ascii="Times New Roman"/>
          <w:b w:val="false"/>
          <w:i w:val="false"/>
          <w:color w:val="1b1b1b"/>
          <w:sz w:val="24"/>
          <w:lang w:val="pl-PL"/>
        </w:rPr>
        <w:t>art. 118 ust. 2</w:t>
      </w:r>
      <w:r>
        <w:rPr>
          <w:rFonts w:ascii="Times New Roman"/>
          <w:b w:val="false"/>
          <w:i w:val="false"/>
          <w:color w:val="000000"/>
          <w:sz w:val="24"/>
          <w:lang w:val="pl-PL"/>
        </w:rPr>
        <w:t xml:space="preserve"> Konstytucji Rzeczypospolitej Polskiej z dnia 2 kwietnia 1997 r. (Dz. U. poz. 483, z 2001 r. poz. 319, z 2006 r. poz. 1471 oraz z 2009 r. poz. 946).</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6a</w:t>
      </w:r>
    </w:p>
    <w:p>
      <w:pPr>
        <w:spacing w:before="25" w:after="0"/>
        <w:ind w:left="0"/>
        <w:jc w:val="center"/>
        <w:textAlignment w:val="auto"/>
      </w:pPr>
      <w:r>
        <w:rPr>
          <w:rFonts w:ascii="Times New Roman"/>
          <w:b/>
          <w:i w:val="false"/>
          <w:color w:val="000000"/>
          <w:sz w:val="24"/>
          <w:lang w:val="pl-PL"/>
        </w:rPr>
        <w:t>Program regulacyjny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71a.</w:t>
      </w:r>
      <w:r>
        <w:rPr>
          <w:rFonts w:ascii="Times New Roman"/>
          <w:b/>
          <w:i w:val="false"/>
          <w:color w:val="000000"/>
          <w:sz w:val="24"/>
          <w:lang w:val="pl-PL"/>
        </w:rPr>
        <w:t xml:space="preserve"> [Treść i procedura przyjęcia programu regulacyjnego]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Program regulacyjny określa priorytetowe działania Rady Ministrów w zakresie kształtowania otoczenia prawnego wykonywania działalności gospodarczej.</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Program regulacyjny uwzględnia wyniki przeglądu funkcjonowania aktów normatywnych określających zasady podejmowania, wykonywania lub zakończenia działalności gospodarczej, o którym mowa w </w:t>
      </w:r>
      <w:r>
        <w:rPr>
          <w:rFonts w:ascii="Times New Roman"/>
          <w:b w:val="false"/>
          <w:i w:val="false"/>
          <w:color w:val="1b1b1b"/>
          <w:sz w:val="24"/>
          <w:lang w:val="pl-PL"/>
        </w:rPr>
        <w:t>art. 70 ust. 1</w:t>
      </w:r>
      <w:r>
        <w:rPr>
          <w:rFonts w:ascii="Times New Roman"/>
          <w:b w:val="false"/>
          <w:i w:val="false"/>
          <w:color w:val="000000"/>
          <w:sz w:val="24"/>
          <w:lang w:val="pl-PL"/>
        </w:rPr>
        <w:t>, oraz obejmuje planowane działania w zakresie: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zmniejszenia obciążeń administracyjnych;</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dokonywania oceny funkcjonowania aktów normatywnych.</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Projekt programu regulacyjnego opracowuje minister właściwy do spraw gospodarki.</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Rada Ministrów przyjmuje, w drodze uchwały, co 3 lata program regulacyjny.</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Minister właściwy do spraw gospodarki przedstawia Sejmowi i Senatowi przyjęty przez Radę Ministrów program regulacyjny oraz koordynuje jego realizację.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71b.</w:t>
      </w:r>
      <w:r>
        <w:rPr>
          <w:rFonts w:ascii="Times New Roman"/>
          <w:b/>
          <w:i w:val="false"/>
          <w:color w:val="000000"/>
          <w:sz w:val="24"/>
          <w:lang w:val="pl-PL"/>
        </w:rPr>
        <w:t xml:space="preserve"> [Wyłączenie stosowania do programu regulacyjnego przepisów o zasadach prowadzenia polityki rozwoju]</w:t>
      </w:r>
    </w:p>
    <w:p>
      <w:pPr>
        <w:spacing w:after="0"/>
        <w:ind w:left="0"/>
        <w:jc w:val="left"/>
        <w:textAlignment w:val="auto"/>
      </w:pPr>
      <w:r>
        <w:rPr>
          <w:rFonts w:ascii="Times New Roman"/>
          <w:b w:val="false"/>
          <w:i w:val="false"/>
          <w:color w:val="000000"/>
          <w:sz w:val="24"/>
          <w:lang w:val="pl-PL"/>
        </w:rPr>
        <w:t xml:space="preserve"> Do programu regulacyjnego, o którym mowa w </w:t>
      </w:r>
      <w:r>
        <w:rPr>
          <w:rFonts w:ascii="Times New Roman"/>
          <w:b w:val="false"/>
          <w:i w:val="false"/>
          <w:color w:val="1b1b1b"/>
          <w:sz w:val="24"/>
          <w:lang w:val="pl-PL"/>
        </w:rPr>
        <w:t>art. 71a</w:t>
      </w:r>
      <w:r>
        <w:rPr>
          <w:rFonts w:ascii="Times New Roman"/>
          <w:b w:val="false"/>
          <w:i w:val="false"/>
          <w:color w:val="000000"/>
          <w:sz w:val="24"/>
          <w:lang w:val="pl-PL"/>
        </w:rPr>
        <w:t xml:space="preserve">, nie stosuje się </w:t>
      </w:r>
      <w:r>
        <w:rPr>
          <w:rFonts w:ascii="Times New Roman"/>
          <w:b w:val="false"/>
          <w:i w:val="false"/>
          <w:color w:val="1b1b1b"/>
          <w:sz w:val="24"/>
          <w:lang w:val="pl-PL"/>
        </w:rPr>
        <w:t>ustawy</w:t>
      </w:r>
      <w:r>
        <w:rPr>
          <w:rFonts w:ascii="Times New Roman"/>
          <w:b w:val="false"/>
          <w:i w:val="false"/>
          <w:color w:val="000000"/>
          <w:sz w:val="24"/>
          <w:lang w:val="pl-PL"/>
        </w:rPr>
        <w:t xml:space="preserve"> z dnia 6 grudnia 2006 r. o zasadach prowadzenia polityki rozwoju (Dz. U. z 2025 r. poz. 198).</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7</w:t>
      </w:r>
    </w:p>
    <w:p>
      <w:pPr>
        <w:spacing w:before="25" w:after="0"/>
        <w:ind w:left="0"/>
        <w:jc w:val="center"/>
        <w:textAlignment w:val="auto"/>
      </w:pPr>
      <w:r>
        <w:rPr>
          <w:rFonts w:ascii="Times New Roman"/>
          <w:b/>
          <w:i w:val="false"/>
          <w:color w:val="000000"/>
          <w:sz w:val="24"/>
          <w:lang w:val="pl-PL"/>
        </w:rPr>
        <w:t>Przepis końcowy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72.</w:t>
      </w:r>
      <w:r>
        <w:rPr>
          <w:rFonts w:ascii="Times New Roman"/>
          <w:b/>
          <w:i w:val="false"/>
          <w:color w:val="000000"/>
          <w:sz w:val="24"/>
          <w:lang w:val="pl-PL"/>
        </w:rPr>
        <w:t xml:space="preserve"> [Wejście w życie]</w:t>
      </w:r>
    </w:p>
    <w:p>
      <w:pPr>
        <w:spacing w:after="0"/>
        <w:ind w:left="0"/>
        <w:jc w:val="left"/>
        <w:textAlignment w:val="auto"/>
      </w:pPr>
      <w:r>
        <w:rPr>
          <w:rFonts w:ascii="Times New Roman"/>
          <w:b w:val="false"/>
          <w:i w:val="false"/>
          <w:color w:val="000000"/>
          <w:sz w:val="24"/>
          <w:lang w:val="pl-PL"/>
        </w:rPr>
        <w:t xml:space="preserve"> Ustawa wchodzi w życie w terminie </w:t>
      </w:r>
      <w:r>
        <w:rPr>
          <w:rFonts w:ascii="Times New Roman"/>
          <w:b w:val="false"/>
          <w:i w:val="false"/>
          <w:color w:val="000000"/>
          <w:sz w:val="24"/>
          <w:vertAlign w:val="superscript"/>
          <w:lang w:val="pl-PL"/>
        </w:rPr>
        <w:t>12</w:t>
      </w:r>
      <w:r>
        <w:rPr>
          <w:rFonts w:ascii="Times New Roman"/>
          <w:b w:val="false"/>
          <w:i w:val="false"/>
          <w:color w:val="000000"/>
          <w:sz w:val="24"/>
          <w:lang w:val="pl-PL"/>
        </w:rPr>
        <w:t xml:space="preserve"> i na zasadach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6 marca 2018 r. - Przepisy wprowadzające ustawę - Prawo przedsiębiorców oraz inne ustawy dotyczące działalności gospodarczej (Dz. U. poz. 650).</w:t>
      </w:r>
    </w:p>
    <w:p>
      <w:pPr>
        <w:spacing w:before="250" w:after="0"/>
        <w:ind w:left="0"/>
        <w:jc w:val="left"/>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Niniejsza ustawa wdraża w zakresie swojej regulacji następujące dyrektywy:</w:t>
      </w:r>
      <w:r>
        <w:rPr>
          <w:rFonts w:ascii="Times New Roman"/>
          <w:b w:val="false"/>
          <w:i w:val="false"/>
          <w:color w:val="000000"/>
          <w:sz w:val="24"/>
          <w:lang w:val="pl-PL"/>
        </w:rPr>
        <w:t xml:space="preserve">1) </w:t>
      </w:r>
      <w:r>
        <w:rPr>
          <w:rFonts w:ascii="Times New Roman"/>
          <w:b w:val="false"/>
          <w:i w:val="false"/>
          <w:color w:val="1b1b1b"/>
          <w:sz w:val="24"/>
          <w:lang w:val="pl-PL"/>
        </w:rPr>
        <w:t>dyrektywę</w:t>
      </w:r>
      <w:r>
        <w:rPr>
          <w:rFonts w:ascii="Times New Roman"/>
          <w:b w:val="false"/>
          <w:i w:val="false"/>
          <w:color w:val="000000"/>
          <w:sz w:val="24"/>
          <w:lang w:val="pl-PL"/>
        </w:rPr>
        <w:t xml:space="preserve"> 2006/123/WE Parlamentu Europejskiego i Rady z dnia 12 grudnia 2006 r. dotyczącą usług na rynku wewnętrznym (Dz. Urz. UE L 376 z 27.12.2006, str. 36);</w:t>
      </w:r>
      <w:r>
        <w:rPr>
          <w:rFonts w:ascii="Times New Roman"/>
          <w:b w:val="false"/>
          <w:i w:val="false"/>
          <w:color w:val="000000"/>
          <w:sz w:val="24"/>
          <w:lang w:val="pl-PL"/>
        </w:rPr>
        <w:t xml:space="preserve">2) </w:t>
      </w:r>
      <w:r>
        <w:rPr>
          <w:rFonts w:ascii="Times New Roman"/>
          <w:b w:val="false"/>
          <w:i w:val="false"/>
          <w:color w:val="1b1b1b"/>
          <w:sz w:val="24"/>
          <w:lang w:val="pl-PL"/>
        </w:rPr>
        <w:t>dyrektywę</w:t>
      </w:r>
      <w:r>
        <w:rPr>
          <w:rFonts w:ascii="Times New Roman"/>
          <w:b w:val="false"/>
          <w:i w:val="false"/>
          <w:color w:val="000000"/>
          <w:sz w:val="24"/>
          <w:lang w:val="pl-PL"/>
        </w:rPr>
        <w:t xml:space="preserve"> Parlamentu Europejskiego i Rady (UE) 2019/1158 z dnia 20 czerwca 2019 r. w sprawie równowagi między życiem zawodowym a prywatnym rodziców i opiekunów oraz uchylającą dyrektywę Rady 2010/18/UE (Dz. Urz. UE L 188 z 12.07.2019, str. 79).</w:t>
      </w:r>
    </w:p>
    <w:p>
      <w:pPr>
        <w:spacing w:after="0"/>
        <w:ind w:left="0"/>
        <w:jc w:val="left"/>
        <w:textAlignment w:val="auto"/>
      </w:pP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Art. 5 ust. 1 zmieniony przez </w:t>
      </w:r>
      <w:r>
        <w:rPr>
          <w:rFonts w:ascii="Times New Roman"/>
          <w:b w:val="false"/>
          <w:i w:val="false"/>
          <w:color w:val="1b1b1b"/>
          <w:sz w:val="24"/>
          <w:lang w:val="pl-PL"/>
        </w:rPr>
        <w:t>art. 5 pkt 1</w:t>
      </w:r>
      <w:r>
        <w:rPr>
          <w:rFonts w:ascii="Times New Roman"/>
          <w:b w:val="false"/>
          <w:i w:val="false"/>
          <w:color w:val="000000"/>
          <w:sz w:val="24"/>
          <w:lang w:val="pl-PL"/>
        </w:rPr>
        <w:t xml:space="preserve"> ustawy z dnia 25 lipca 2025 r. (Dz.U.2025.1168) zmieniającej nin. ustawę z dniem 1 stycznia 2026 r.</w:t>
      </w:r>
    </w:p>
    <w:p>
      <w:pPr>
        <w:spacing w:after="0"/>
        <w:ind w:left="0"/>
        <w:jc w:val="left"/>
        <w:textAlignment w:val="auto"/>
      </w:pP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Art. 5 ust. 3 zmieniony przez </w:t>
      </w:r>
      <w:r>
        <w:rPr>
          <w:rFonts w:ascii="Times New Roman"/>
          <w:b w:val="false"/>
          <w:i w:val="false"/>
          <w:color w:val="1b1b1b"/>
          <w:sz w:val="24"/>
          <w:lang w:val="pl-PL"/>
        </w:rPr>
        <w:t>art. 5 pkt 2</w:t>
      </w:r>
      <w:r>
        <w:rPr>
          <w:rFonts w:ascii="Times New Roman"/>
          <w:b w:val="false"/>
          <w:i w:val="false"/>
          <w:color w:val="000000"/>
          <w:sz w:val="24"/>
          <w:lang w:val="pl-PL"/>
        </w:rPr>
        <w:t xml:space="preserve"> ustawy z dnia 25 lipca 2025 r. (Dz.U.2025.1168) zmieniającej nin. ustawę z dniem 1 stycznia 2026 r.</w:t>
      </w:r>
    </w:p>
    <w:p>
      <w:pPr>
        <w:spacing w:after="0"/>
        <w:ind w:left="0"/>
        <w:jc w:val="left"/>
        <w:textAlignment w:val="auto"/>
      </w:pP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Art. 21 ust. 1 pkt 1 zmieniony przez </w:t>
      </w:r>
      <w:r>
        <w:rPr>
          <w:rFonts w:ascii="Times New Roman"/>
          <w:b w:val="false"/>
          <w:i w:val="false"/>
          <w:color w:val="1b1b1b"/>
          <w:sz w:val="24"/>
          <w:lang w:val="pl-PL"/>
        </w:rPr>
        <w:t>art. 92</w:t>
      </w:r>
      <w:r>
        <w:rPr>
          <w:rFonts w:ascii="Times New Roman"/>
          <w:b w:val="false"/>
          <w:i w:val="false"/>
          <w:color w:val="000000"/>
          <w:sz w:val="24"/>
          <w:lang w:val="pl-PL"/>
        </w:rPr>
        <w:t xml:space="preserve"> ustawy z dnia 7 listopada 2025 r. (Dz.U.2025.1826) zmieniającej nin. ustawę z dniem 3 stycznia 2026 r.</w:t>
      </w:r>
    </w:p>
    <w:p>
      <w:pPr>
        <w:spacing w:after="0"/>
        <w:ind w:left="0"/>
        <w:jc w:val="left"/>
        <w:textAlignment w:val="auto"/>
      </w:pPr>
      <w:r>
        <w:rPr>
          <w:rFonts w:ascii="Times New Roman"/>
          <w:b w:val="false"/>
          <w:i w:val="false"/>
          <w:color w:val="000000"/>
          <w:sz w:val="24"/>
          <w:vertAlign w:val="superscript"/>
          <w:lang w:val="pl-PL"/>
        </w:rPr>
        <w:t>5</w:t>
      </w:r>
      <w:r>
        <w:rPr>
          <w:rFonts w:ascii="Times New Roman"/>
          <w:b w:val="false"/>
          <w:i w:val="false"/>
          <w:color w:val="000000"/>
          <w:sz w:val="24"/>
          <w:lang w:val="pl-PL"/>
        </w:rPr>
        <w:t xml:space="preserve"> Art. 47 ust. 1 zmieniony przez </w:t>
      </w:r>
      <w:r>
        <w:rPr>
          <w:rFonts w:ascii="Times New Roman"/>
          <w:b w:val="false"/>
          <w:i w:val="false"/>
          <w:color w:val="1b1b1b"/>
          <w:sz w:val="24"/>
          <w:lang w:val="pl-PL"/>
        </w:rPr>
        <w:t>art. 24 pkt 4 lit. a</w:t>
      </w:r>
      <w:r>
        <w:rPr>
          <w:rFonts w:ascii="Times New Roman"/>
          <w:b w:val="false"/>
          <w:i w:val="false"/>
          <w:color w:val="000000"/>
          <w:sz w:val="24"/>
          <w:lang w:val="pl-PL"/>
        </w:rPr>
        <w:t xml:space="preserve"> ustawy z dnia 21 maja 2025 r. (Dz.U.2025.769) zmieniającej nin. ustawę z dniem 1 stycznia 2026 r.</w:t>
      </w:r>
    </w:p>
    <w:p>
      <w:pPr>
        <w:spacing w:after="0"/>
        <w:ind w:left="0"/>
        <w:jc w:val="left"/>
        <w:textAlignment w:val="auto"/>
      </w:pPr>
      <w:r>
        <w:rPr>
          <w:rFonts w:ascii="Times New Roman"/>
          <w:b w:val="false"/>
          <w:i w:val="false"/>
          <w:color w:val="000000"/>
          <w:sz w:val="24"/>
          <w:vertAlign w:val="superscript"/>
          <w:lang w:val="pl-PL"/>
        </w:rPr>
        <w:t>6</w:t>
      </w:r>
      <w:r>
        <w:rPr>
          <w:rFonts w:ascii="Times New Roman"/>
          <w:b w:val="false"/>
          <w:i w:val="false"/>
          <w:color w:val="000000"/>
          <w:sz w:val="24"/>
          <w:lang w:val="pl-PL"/>
        </w:rPr>
        <w:t xml:space="preserve"> Art. 47 ust. 1a dodany przez </w:t>
      </w:r>
      <w:r>
        <w:rPr>
          <w:rFonts w:ascii="Times New Roman"/>
          <w:b w:val="false"/>
          <w:i w:val="false"/>
          <w:color w:val="1b1b1b"/>
          <w:sz w:val="24"/>
          <w:lang w:val="pl-PL"/>
        </w:rPr>
        <w:t>art. 24 pkt 4 lit. b</w:t>
      </w:r>
      <w:r>
        <w:rPr>
          <w:rFonts w:ascii="Times New Roman"/>
          <w:b w:val="false"/>
          <w:i w:val="false"/>
          <w:color w:val="000000"/>
          <w:sz w:val="24"/>
          <w:lang w:val="pl-PL"/>
        </w:rPr>
        <w:t xml:space="preserve"> ustawy z dnia 21 maja 2025 r. (Dz.U.2025.769) zmieniającej nin. ustawę z dniem 1 stycznia 2026 r.</w:t>
      </w:r>
    </w:p>
    <w:p>
      <w:pPr>
        <w:spacing w:after="0"/>
        <w:ind w:left="0"/>
        <w:jc w:val="left"/>
        <w:textAlignment w:val="auto"/>
      </w:pPr>
      <w:r>
        <w:rPr>
          <w:rFonts w:ascii="Times New Roman"/>
          <w:b w:val="false"/>
          <w:i w:val="false"/>
          <w:color w:val="000000"/>
          <w:sz w:val="24"/>
          <w:vertAlign w:val="superscript"/>
          <w:lang w:val="pl-PL"/>
        </w:rPr>
        <w:t>7</w:t>
      </w:r>
      <w:r>
        <w:rPr>
          <w:rFonts w:ascii="Times New Roman"/>
          <w:b w:val="false"/>
          <w:i w:val="false"/>
          <w:color w:val="000000"/>
          <w:sz w:val="24"/>
          <w:lang w:val="pl-PL"/>
        </w:rPr>
        <w:t xml:space="preserve"> Art. 47 ust. 1b dodany przez </w:t>
      </w:r>
      <w:r>
        <w:rPr>
          <w:rFonts w:ascii="Times New Roman"/>
          <w:b w:val="false"/>
          <w:i w:val="false"/>
          <w:color w:val="1b1b1b"/>
          <w:sz w:val="24"/>
          <w:lang w:val="pl-PL"/>
        </w:rPr>
        <w:t>art. 24 pkt 4 lit. b</w:t>
      </w:r>
      <w:r>
        <w:rPr>
          <w:rFonts w:ascii="Times New Roman"/>
          <w:b w:val="false"/>
          <w:i w:val="false"/>
          <w:color w:val="000000"/>
          <w:sz w:val="24"/>
          <w:lang w:val="pl-PL"/>
        </w:rPr>
        <w:t xml:space="preserve"> ustawy z dnia 21 maja 2025 r. (Dz.U.2025.769) zmieniającej nin. ustawę z dniem 1 stycznia 2026 r.</w:t>
      </w:r>
    </w:p>
    <w:p>
      <w:pPr>
        <w:spacing w:after="0"/>
        <w:ind w:left="0"/>
        <w:jc w:val="left"/>
        <w:textAlignment w:val="auto"/>
      </w:pPr>
      <w:r>
        <w:rPr>
          <w:rFonts w:ascii="Times New Roman"/>
          <w:b w:val="false"/>
          <w:i w:val="false"/>
          <w:color w:val="000000"/>
          <w:sz w:val="24"/>
          <w:vertAlign w:val="superscript"/>
          <w:lang w:val="pl-PL"/>
        </w:rPr>
        <w:t>8</w:t>
      </w:r>
      <w:r>
        <w:rPr>
          <w:rFonts w:ascii="Times New Roman"/>
          <w:b w:val="false"/>
          <w:i w:val="false"/>
          <w:color w:val="000000"/>
          <w:sz w:val="24"/>
          <w:lang w:val="pl-PL"/>
        </w:rPr>
        <w:t xml:space="preserve"> Art. 47 ust. 2 zdanie wstęne zmienione przez </w:t>
      </w:r>
      <w:r>
        <w:rPr>
          <w:rFonts w:ascii="Times New Roman"/>
          <w:b w:val="false"/>
          <w:i w:val="false"/>
          <w:color w:val="1b1b1b"/>
          <w:sz w:val="24"/>
          <w:lang w:val="pl-PL"/>
        </w:rPr>
        <w:t>art. 24 pkt 4 lit. c</w:t>
      </w:r>
      <w:r>
        <w:rPr>
          <w:rFonts w:ascii="Times New Roman"/>
          <w:b w:val="false"/>
          <w:i w:val="false"/>
          <w:color w:val="000000"/>
          <w:sz w:val="24"/>
          <w:lang w:val="pl-PL"/>
        </w:rPr>
        <w:t xml:space="preserve"> ustawy z dnia 21 maja 2025 r. (Dz.U.2025.769) zmieniającej nin. ustawę z dniem 1 stycznia 2026 r.</w:t>
      </w:r>
    </w:p>
    <w:p>
      <w:pPr>
        <w:spacing w:after="0"/>
        <w:ind w:left="0"/>
        <w:jc w:val="left"/>
        <w:textAlignment w:val="auto"/>
      </w:pPr>
      <w:r>
        <w:rPr>
          <w:rFonts w:ascii="Times New Roman"/>
          <w:b w:val="false"/>
          <w:i w:val="false"/>
          <w:color w:val="000000"/>
          <w:sz w:val="24"/>
          <w:vertAlign w:val="superscript"/>
          <w:lang w:val="pl-PL"/>
        </w:rPr>
        <w:t>9</w:t>
      </w:r>
      <w:r>
        <w:rPr>
          <w:rFonts w:ascii="Times New Roman"/>
          <w:b w:val="false"/>
          <w:i w:val="false"/>
          <w:color w:val="000000"/>
          <w:sz w:val="24"/>
          <w:lang w:val="pl-PL"/>
        </w:rPr>
        <w:t xml:space="preserve"> Art. 47 ust. 2a dodany przez </w:t>
      </w:r>
      <w:r>
        <w:rPr>
          <w:rFonts w:ascii="Times New Roman"/>
          <w:b w:val="false"/>
          <w:i w:val="false"/>
          <w:color w:val="1b1b1b"/>
          <w:sz w:val="24"/>
          <w:lang w:val="pl-PL"/>
        </w:rPr>
        <w:t>art. 24 pkt 4 lit. d</w:t>
      </w:r>
      <w:r>
        <w:rPr>
          <w:rFonts w:ascii="Times New Roman"/>
          <w:b w:val="false"/>
          <w:i w:val="false"/>
          <w:color w:val="000000"/>
          <w:sz w:val="24"/>
          <w:lang w:val="pl-PL"/>
        </w:rPr>
        <w:t xml:space="preserve"> ustawy z dnia 21 maja 2025 r. (Dz.U.2025.769) zmieniającej nin. ustawę z dniem 1 stycznia 2026 r.</w:t>
      </w:r>
    </w:p>
    <w:p>
      <w:pPr>
        <w:spacing w:after="0"/>
        <w:ind w:left="0"/>
        <w:jc w:val="left"/>
        <w:textAlignment w:val="auto"/>
      </w:pPr>
      <w:r>
        <w:rPr>
          <w:rFonts w:ascii="Times New Roman"/>
          <w:b w:val="false"/>
          <w:i w:val="false"/>
          <w:color w:val="000000"/>
          <w:sz w:val="24"/>
          <w:vertAlign w:val="superscript"/>
          <w:lang w:val="pl-PL"/>
        </w:rPr>
        <w:t>10</w:t>
      </w:r>
      <w:r>
        <w:rPr>
          <w:rFonts w:ascii="Times New Roman"/>
          <w:b w:val="false"/>
          <w:i w:val="false"/>
          <w:color w:val="000000"/>
          <w:sz w:val="24"/>
          <w:lang w:val="pl-PL"/>
        </w:rPr>
        <w:t xml:space="preserve"> Art. 55a dodany przez </w:t>
      </w:r>
      <w:r>
        <w:rPr>
          <w:rFonts w:ascii="Times New Roman"/>
          <w:b w:val="false"/>
          <w:i w:val="false"/>
          <w:color w:val="1b1b1b"/>
          <w:sz w:val="24"/>
          <w:lang w:val="pl-PL"/>
        </w:rPr>
        <w:t>art. 24 pkt 7</w:t>
      </w:r>
      <w:r>
        <w:rPr>
          <w:rFonts w:ascii="Times New Roman"/>
          <w:b w:val="false"/>
          <w:i w:val="false"/>
          <w:color w:val="000000"/>
          <w:sz w:val="24"/>
          <w:lang w:val="pl-PL"/>
        </w:rPr>
        <w:t xml:space="preserve"> ustawy z dnia 21 maja 2025 r. (Dz.U.2025.769) zmieniającej nin. ustawę z dniem 1 stycznia 2026 r.</w:t>
      </w:r>
    </w:p>
    <w:p>
      <w:pPr>
        <w:spacing w:after="0"/>
        <w:ind w:left="0"/>
        <w:jc w:val="left"/>
        <w:textAlignment w:val="auto"/>
      </w:pPr>
      <w:r>
        <w:rPr>
          <w:rFonts w:ascii="Times New Roman"/>
          <w:b w:val="false"/>
          <w:i w:val="false"/>
          <w:color w:val="000000"/>
          <w:sz w:val="24"/>
          <w:vertAlign w:val="superscript"/>
          <w:lang w:val="pl-PL"/>
        </w:rPr>
        <w:t>11</w:t>
      </w:r>
      <w:r>
        <w:rPr>
          <w:rFonts w:ascii="Times New Roman"/>
          <w:b w:val="false"/>
          <w:i w:val="false"/>
          <w:color w:val="000000"/>
          <w:sz w:val="24"/>
          <w:lang w:val="pl-PL"/>
        </w:rPr>
        <w:t xml:space="preserve"> Art. 62 ust. 2 zdanie wstępne zmienione przez </w:t>
      </w:r>
      <w:r>
        <w:rPr>
          <w:rFonts w:ascii="Times New Roman"/>
          <w:b w:val="false"/>
          <w:i w:val="false"/>
          <w:color w:val="1b1b1b"/>
          <w:sz w:val="24"/>
          <w:lang w:val="pl-PL"/>
        </w:rPr>
        <w:t>art. 24 pkt 9</w:t>
      </w:r>
      <w:r>
        <w:rPr>
          <w:rFonts w:ascii="Times New Roman"/>
          <w:b w:val="false"/>
          <w:i w:val="false"/>
          <w:color w:val="000000"/>
          <w:sz w:val="24"/>
          <w:lang w:val="pl-PL"/>
        </w:rPr>
        <w:t xml:space="preserve"> ustawy z dnia 21 maja 2025 r. (Dz.U.2025.769) zmieniającej nin. ustawę z dniem 1 stycznia 2026 r.</w:t>
      </w:r>
    </w:p>
    <w:p>
      <w:pPr>
        <w:spacing w:after="0"/>
        <w:ind w:left="0"/>
        <w:jc w:val="left"/>
        <w:textAlignment w:val="auto"/>
      </w:pPr>
      <w:r>
        <w:rPr>
          <w:rFonts w:ascii="Times New Roman"/>
          <w:b w:val="false"/>
          <w:i w:val="false"/>
          <w:color w:val="000000"/>
          <w:sz w:val="24"/>
          <w:vertAlign w:val="superscript"/>
          <w:lang w:val="pl-PL"/>
        </w:rPr>
        <w:t>12</w:t>
      </w:r>
      <w:r>
        <w:rPr>
          <w:rFonts w:ascii="Times New Roman"/>
          <w:b w:val="false"/>
          <w:i w:val="false"/>
          <w:color w:val="000000"/>
          <w:sz w:val="24"/>
          <w:lang w:val="pl-PL"/>
        </w:rPr>
        <w:t xml:space="preserve"> Ustawa weszła w życie z dniem 30 kwietnia 2018 r., z wyjątkiem art. 24 ust. 6, który wszedł w życie z dniem 1 lutego 2019 r., na podstawie </w:t>
      </w:r>
      <w:r>
        <w:rPr>
          <w:rFonts w:ascii="Times New Roman"/>
          <w:b w:val="false"/>
          <w:i w:val="false"/>
          <w:color w:val="1b1b1b"/>
          <w:sz w:val="24"/>
          <w:lang w:val="pl-PL"/>
        </w:rPr>
        <w:t>art. 1</w:t>
      </w:r>
      <w:r>
        <w:rPr>
          <w:rFonts w:ascii="Times New Roman"/>
          <w:b w:val="false"/>
          <w:i w:val="false"/>
          <w:color w:val="000000"/>
          <w:sz w:val="24"/>
          <w:lang w:val="pl-PL"/>
        </w:rPr>
        <w:t xml:space="preserve"> ustawy z dnia 6 marca 2018 r. - Przepisy wprowadzające ustawę - Prawo przedsiębiorców oraz inne ustawy dotyczące działalności gospodarczej (Dz. U. poz. 650), która weszła w życie z dniem 30 kwietnia 2018 r.</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none"/>
      <w:lvlText w:val=""/>
      <w:lvlJc w:val="left"/>
      <w:pPr>
        <w:ind w:left="0"/>
      </w:pPr>
    </w:lvl>
    <w:lvl w:ilvl="1">
      <w:start w:val="1"/>
      <w:numFmt w:val="none"/>
      <w:lvlText w:val=""/>
      <w:lvlJc w:val="left"/>
      <w:pPr>
        <w:ind w:left="0"/>
      </w:pPr>
    </w:lvl>
  </w:abstractNum>
  <w:num w:numId="1">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