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Krajowy Rejestr Sądowy.</w:t>
      </w:r>
    </w:p>
    <w:p>
      <w:pPr>
        <w:pStyle w:val="NormalStyle"/>
      </w:pPr>
      <w:r>
        <w:t>Dz.U.2025.869 t.j. z dnia 2025.07.02</w:t>
      </w:r>
    </w:p>
    <w:p>
      <w:pPr>
        <w:pStyle w:val="NormalStyle"/>
      </w:pPr>
      <w:r>
        <w:t xml:space="preserve">Status: Akt obowiązujący </w:t>
      </w:r>
    </w:p>
    <w:p>
      <w:pPr>
        <w:pStyle w:val="NormalStyle"/>
      </w:pPr>
      <w:r>
        <w:t>Wersja od: 31 maja 2026r.  do: 17 lutego 2027r.</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2001 r.</w:t>
      </w:r>
      <w:r>
        <w:rPr>
          <w:rFonts w:ascii="Times New Roman"/>
          <w:b w:val="false"/>
          <w:i w:val="false"/>
          <w:color w:val="000000"/>
          <w:sz w:val="24"/>
          <w:lang w:val="pl-PL"/>
        </w:rPr>
        <w:t xml:space="preserve"> , </w:t>
      </w:r>
      <w:r>
        <w:rPr>
          <w:rFonts w:ascii="Times New Roman"/>
          <w:b w:val="false"/>
          <w:i w:val="false"/>
          <w:color w:val="000000"/>
          <w:sz w:val="24"/>
          <w:lang w:val="pl-PL"/>
        </w:rPr>
        <w:t>22 października 1997 r.</w:t>
      </w:r>
      <w:r>
        <w:rPr>
          <w:rFonts w:ascii="Times New Roman"/>
          <w:b w:val="false"/>
          <w:i w:val="false"/>
          <w:color w:val="000000"/>
          <w:sz w:val="24"/>
          <w:lang w:val="pl-PL"/>
        </w:rPr>
        <w:t xml:space="preserve"> , </w:t>
      </w:r>
      <w:r>
        <w:rPr>
          <w:rFonts w:ascii="Times New Roman"/>
          <w:b w:val="false"/>
          <w:i w:val="false"/>
          <w:color w:val="000000"/>
          <w:sz w:val="24"/>
          <w:lang w:val="pl-PL"/>
        </w:rPr>
        <w:t>1 kwietnia 2001 r.</w:t>
      </w:r>
    </w:p>
    <w:p>
      <w:pPr>
        <w:spacing w:after="0"/>
        <w:ind w:left="0"/>
        <w:jc w:val="left"/>
        <w:textAlignment w:val="auto"/>
      </w:pPr>
      <w:r>
        <w:rPr>
          <w:rFonts w:ascii="Times New Roman"/>
          <w:b/>
          <w:i w:val="false"/>
          <w:color w:val="000000"/>
          <w:sz w:val="24"/>
          <w:lang w:val="pl-PL"/>
        </w:rPr>
        <w:t>zobacz:</w:t>
      </w:r>
    </w:p>
    <w:p>
      <w:pPr>
        <w:numPr>
          <w:ilvl w:val="1"/>
          <w:numId w:val="1"/>
        </w:numPr>
        <w:spacing w:after="0"/>
        <w:ind w:left="0"/>
        <w:jc w:val="left"/>
        <w:textAlignment w:val="auto"/>
      </w:pPr>
      <w:r>
        <w:rPr>
          <w:rFonts w:ascii="Times New Roman"/>
          <w:b w:val="false"/>
          <w:i w:val="false"/>
          <w:color w:val="000000"/>
          <w:sz w:val="24"/>
          <w:lang w:val="pl-PL"/>
        </w:rPr>
        <w:t xml:space="preserve"> art. 88 </w:t>
      </w:r>
    </w:p>
    <w:p>
      <w:pPr>
        <w:numPr>
          <w:ilvl w:val="1"/>
          <w:numId w:val="1"/>
        </w:numPr>
        <w:spacing w:after="0"/>
        <w:ind w:left="0"/>
        <w:jc w:val="left"/>
        <w:textAlignment w:val="auto"/>
      </w:pPr>
      <w:r>
        <w:rPr>
          <w:rFonts w:ascii="Times New Roman"/>
          <w:b w:val="false"/>
          <w:i w:val="false"/>
          <w:color w:val="000000"/>
          <w:sz w:val="24"/>
          <w:lang w:val="pl-PL"/>
        </w:rPr>
        <w:t xml:space="preserve"> Dz.U.1997.121.770 </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1 </w:t>
      </w:r>
    </w:p>
    <w:p>
      <w:pPr>
        <w:spacing w:after="0"/>
        <w:ind w:left="0"/>
        <w:jc w:val="left"/>
        <w:textAlignment w:val="auto"/>
      </w:pPr>
    </w:p>
    <w:p>
      <w:pPr>
        <w:spacing w:after="0"/>
        <w:ind w:left="0"/>
        <w:jc w:val="left"/>
        <w:textAlignment w:val="auto"/>
      </w:pPr>
      <w:r>
        <w:rPr>
          <w:rFonts w:ascii="Times New Roman"/>
          <w:b w:val="false"/>
          <w:i w:val="false"/>
          <w:color w:val="000000"/>
          <w:sz w:val="24"/>
          <w:lang w:val="pl-PL"/>
        </w:rPr>
        <w:t xml:space="preserve"> Art. 88.</w:t>
      </w:r>
      <w:r>
        <w:rPr>
          <w:rFonts w:ascii="Times New Roman"/>
          <w:b w:val="false"/>
          <w:i w:val="false"/>
          <w:color w:val="000000"/>
          <w:sz w:val="24"/>
          <w:lang w:val="pl-PL"/>
        </w:rPr>
        <w:t xml:space="preserve"> [Wejście w życie ustawy]</w:t>
      </w:r>
    </w:p>
    <w:p>
      <w:pPr>
        <w:spacing w:before="25" w:after="0"/>
        <w:ind w:left="0"/>
        <w:jc w:val="left"/>
        <w:textAlignment w:val="auto"/>
      </w:pPr>
      <w:r>
        <w:rPr>
          <w:rFonts w:ascii="Times New Roman"/>
          <w:b w:val="false"/>
          <w:i w:val="false"/>
          <w:color w:val="000000"/>
          <w:sz w:val="24"/>
          <w:lang w:val="pl-PL"/>
        </w:rPr>
        <w:t xml:space="preserve">Ustawa wchodzi w życie w terminie i na zasadach określonych ustawą - Przepisy wprowadzające ustawę o Krajowym Rejestrze Sądowym </w:t>
      </w:r>
      <w:r>
        <w:rPr>
          <w:rFonts w:ascii="Times New Roman"/>
          <w:b w:val="false"/>
          <w:i w:val="false"/>
          <w:color w:val="000000"/>
          <w:sz w:val="24"/>
          <w:lang w:val="pl-PL"/>
        </w:rPr>
        <w:t>43</w:t>
      </w:r>
      <w:r>
        <w:rPr>
          <w:rFonts w:ascii="Times New Roman"/>
          <w:b w:val="false"/>
          <w:i w:val="false"/>
          <w:color w:val="000000"/>
          <w:sz w:val="24"/>
          <w:lang w:val="pl-PL"/>
        </w:rPr>
        <w:t xml:space="preserve"> , z wyjątkiem:</w:t>
      </w:r>
    </w:p>
    <w:p>
      <w:pPr>
        <w:spacing w:after="0"/>
        <w:ind w:left="0"/>
        <w:jc w:val="left"/>
        <w:textAlignment w:val="auto"/>
      </w:pPr>
      <w:r>
        <w:rPr>
          <w:rFonts w:ascii="Times New Roman"/>
          <w:b w:val="false"/>
          <w:i w:val="false"/>
          <w:color w:val="000000"/>
          <w:sz w:val="24"/>
          <w:lang w:val="pl-PL"/>
        </w:rPr>
        <w:t>1)</w:t>
      </w:r>
    </w:p>
    <w:p>
      <w:pPr>
        <w:spacing w:after="0"/>
        <w:ind w:left="0"/>
        <w:jc w:val="left"/>
        <w:textAlignment w:val="auto"/>
      </w:pPr>
      <w:r>
        <w:rPr>
          <w:rFonts w:ascii="Times New Roman"/>
          <w:b w:val="false"/>
          <w:i w:val="false"/>
          <w:color w:val="000000"/>
          <w:sz w:val="24"/>
          <w:lang w:val="pl-PL"/>
        </w:rPr>
        <w:t xml:space="preserve">przepisów art. 6, art. 19 ust. 4, art. 48, art. 54, art. 83 i art. 87, które wchodzą w życie po upływie 14 dni od dnia ogłoszenia </w:t>
      </w:r>
      <w:r>
        <w:rPr>
          <w:rFonts w:ascii="Times New Roman"/>
          <w:b w:val="false"/>
          <w:i w:val="false"/>
          <w:color w:val="000000"/>
          <w:sz w:val="24"/>
          <w:lang w:val="pl-PL"/>
        </w:rPr>
        <w:t>44</w:t>
      </w:r>
      <w:r>
        <w:rPr>
          <w:rFonts w:ascii="Times New Roman"/>
          <w:b w:val="false"/>
          <w:i w:val="false"/>
          <w:color w:val="000000"/>
          <w:sz w:val="24"/>
          <w:lang w:val="pl-PL"/>
        </w:rPr>
        <w:t xml:space="preserve"> ;</w:t>
      </w:r>
    </w:p>
    <w:p>
      <w:pPr>
        <w:spacing w:after="0"/>
        <w:ind w:left="0"/>
        <w:jc w:val="left"/>
        <w:textAlignment w:val="auto"/>
      </w:pPr>
      <w:r>
        <w:rPr>
          <w:rFonts w:ascii="Times New Roman"/>
          <w:b w:val="false"/>
          <w:i w:val="false"/>
          <w:color w:val="000000"/>
          <w:sz w:val="24"/>
          <w:lang w:val="pl-PL"/>
        </w:rPr>
        <w:t>2)</w:t>
      </w:r>
    </w:p>
    <w:p>
      <w:pPr>
        <w:spacing w:after="0"/>
        <w:ind w:left="0"/>
        <w:jc w:val="left"/>
        <w:textAlignment w:val="auto"/>
      </w:pPr>
      <w:r>
        <w:rPr>
          <w:rFonts w:ascii="Times New Roman"/>
          <w:b w:val="false"/>
          <w:i w:val="false"/>
          <w:color w:val="000000"/>
          <w:sz w:val="24"/>
          <w:lang w:val="pl-PL"/>
        </w:rPr>
        <w:t>przepisów art. 85, które wchodzą w życie z dniem 1 stycznia 1998 r.</w:t>
      </w: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 xml:space="preserve">USTAWA </w:t>
      </w:r>
    </w:p>
    <w:p>
      <w:pPr>
        <w:spacing w:before="80" w:after="0"/>
        <w:ind w:left="0"/>
        <w:jc w:val="center"/>
        <w:textAlignment w:val="auto"/>
      </w:pPr>
      <w:r>
        <w:rPr>
          <w:rFonts w:ascii="Times New Roman"/>
          <w:b/>
          <w:i w:val="false"/>
          <w:color w:val="000000"/>
          <w:sz w:val="24"/>
          <w:lang w:val="pl-PL"/>
        </w:rPr>
        <w:t>z dnia 20 sierpnia 1997 r.</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 o </w:t>
      </w:r>
      <w:r>
        <w:rPr>
          <w:rFonts w:ascii="Times New Roman"/>
          <w:b/>
          <w:i/>
          <w:color w:val="000000"/>
          <w:sz w:val="24"/>
          <w:lang w:val="pl-PL"/>
        </w:rPr>
        <w:t>Krajowym Rejestrze Sądowym</w:t>
      </w:r>
    </w:p>
    <w:p>
      <w:pPr>
        <w:spacing w:after="0"/>
        <w:ind w:left="0"/>
        <w:jc w:val="center"/>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[Utworzenie </w:t>
      </w:r>
      <w:r>
        <w:rPr>
          <w:rFonts w:ascii="Times New Roman"/>
          <w:b/>
          <w:i/>
          <w:color w:val="000000"/>
          <w:sz w:val="24"/>
          <w:lang w:val="pl-PL"/>
        </w:rPr>
        <w:t>Krajowego Rejestru Sądowego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Rejestry wchodzące w skład </w:t>
      </w:r>
      <w:r>
        <w:rPr>
          <w:rFonts w:ascii="Times New Roman"/>
          <w:b/>
          <w:i/>
          <w:color w:val="000000"/>
          <w:sz w:val="24"/>
          <w:lang w:val="pl-PL"/>
        </w:rPr>
        <w:t>KRS-u</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Tworzy się </w:t>
      </w:r>
      <w:r>
        <w:rPr>
          <w:rFonts w:ascii="Times New Roman"/>
          <w:b w:val="false"/>
          <w:i/>
          <w:color w:val="000000"/>
          <w:sz w:val="24"/>
          <w:lang w:val="pl-PL"/>
        </w:rPr>
        <w:t>Krajowy Rejestr Sądowy</w:t>
      </w:r>
    </w:p>
    <w:p>
      <w:pPr>
        <w:spacing w:after="0"/>
        <w:ind w:left="0"/>
        <w:jc w:val="left"/>
        <w:textAlignment w:val="auto"/>
      </w:pPr>
      <w:r>
        <w:rPr>
          <w:rFonts w:ascii="Times New Roman"/>
          <w:b w:val="false"/>
          <w:i w:val="false"/>
          <w:color w:val="000000"/>
          <w:sz w:val="24"/>
          <w:lang w:val="pl-PL"/>
        </w:rPr>
        <w:t>, zwany dalej "Rejestrem".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Rejestr składa się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rejestru przedsiębiorców;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rejestru stowarzyszeń, innych organizacji społecznych i zawodowych, fundacji oraz samodzielnych publicznych zakładów opieki zdrowotnej;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rejestru dłużników niewypłacalnych.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Rejestr wchodzi w skład systemu integracji rejestrów, o którym mowa w </w:t>
      </w:r>
      <w:r>
        <w:rPr>
          <w:rFonts w:ascii="Times New Roman"/>
          <w:b w:val="false"/>
          <w:i w:val="false"/>
          <w:color w:val="1b1b1b"/>
          <w:sz w:val="24"/>
          <w:lang w:val="pl-PL"/>
        </w:rPr>
        <w:t>art. 22</w:t>
      </w:r>
      <w:r>
        <w:rPr>
          <w:rFonts w:ascii="Times New Roman"/>
          <w:b w:val="false"/>
          <w:i w:val="false"/>
          <w:color w:val="000000"/>
          <w:sz w:val="24"/>
          <w:lang w:val="pl-PL"/>
        </w:rPr>
        <w:t xml:space="preserve"> dyrektywy Parlamentu Europejskiego i Rady (UE) 2017/1132 z dnia 14 czerwca 2017 r. w sprawie niektórych aspektów prawa spółek (Dz. Urz. UE L 169 z 30.06.2017, str. 46-127), zwanego dalej "systemem integracji rejestrów".</w:t>
      </w:r>
    </w:p>
    <w:p>
      <w:pPr>
        <w:spacing w:before="80"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[Sądy rejestrowe]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 prowadzą w systemie teleinformatycznym sądy rejonowe (sądy gospodarcze), zwane dalej "sądami rejestrowymi".</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[Podmioty podlegające wpisowi do Rejestru]</w:t>
      </w:r>
    </w:p>
    <w:p>
      <w:pPr>
        <w:spacing w:after="0"/>
        <w:ind w:left="0"/>
        <w:jc w:val="left"/>
        <w:textAlignment w:val="auto"/>
      </w:pPr>
      <w:r>
        <w:rPr>
          <w:rFonts w:ascii="Times New Roman"/>
          <w:b w:val="false"/>
          <w:i w:val="false"/>
          <w:color w:val="000000"/>
          <w:sz w:val="24"/>
          <w:lang w:val="pl-PL"/>
        </w:rPr>
        <w:t xml:space="preserve">Rejestr obejmuje podmioty, na które przepisy </w:t>
      </w:r>
      <w:r>
        <w:rPr>
          <w:rFonts w:ascii="Times New Roman"/>
          <w:b w:val="false"/>
          <w:i w:val="false"/>
          <w:color w:val="1b1b1b"/>
          <w:sz w:val="24"/>
          <w:lang w:val="pl-PL"/>
        </w:rPr>
        <w:t>ustaw</w:t>
      </w:r>
      <w:r>
        <w:rPr>
          <w:rFonts w:ascii="Times New Roman"/>
          <w:b w:val="false"/>
          <w:i w:val="false"/>
          <w:color w:val="000000"/>
          <w:sz w:val="24"/>
          <w:lang w:val="pl-PL"/>
        </w:rPr>
        <w:t xml:space="preserve"> nakładają obowiązek uzyskania wpisu do tego Rejestru.</w:t>
      </w:r>
    </w:p>
    <w:p>
      <w:pPr>
        <w:spacing w:before="80" w:after="0"/>
        <w:ind w:left="0"/>
        <w:jc w:val="left"/>
        <w:textAlignment w:val="auto"/>
      </w:pPr>
      <w:r>
        <w:rPr>
          <w:rFonts w:ascii="Times New Roman"/>
          <w:b/>
          <w:i w:val="false"/>
          <w:color w:val="000000"/>
          <w:sz w:val="24"/>
          <w:lang w:val="pl-PL"/>
        </w:rPr>
        <w:t xml:space="preserve"> Art. 3a.</w:t>
      </w:r>
      <w:r>
        <w:rPr>
          <w:rFonts w:ascii="Times New Roman"/>
          <w:b/>
          <w:i w:val="false"/>
          <w:color w:val="000000"/>
          <w:sz w:val="24"/>
          <w:lang w:val="pl-PL"/>
        </w:rPr>
        <w:t xml:space="preserve"> [Zadania ministra jako organu właściwego do utrzymywania systemu teleinformatycznego]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utrzymuje system teleinformatyczny służący do prowadzenia Rejestru, umożliwiający zawiązywanie oraz podejmowanie innych czynności w odniesieniu do spółek, których umowa jest zawierana przy wykorzystaniu wzorca umowy udostępnionego w tym systemie, oraz podejmowanie czynności w postępowaniu rejestrowym w odniesieniu do podmiotów podlegających wpisowi do Rejestru, udzielanie informacji z Rejestru i udostępnianie akt rejestrowych. Minister Sprawiedliwości zapewnia dostęp do systemu teleinformatycznego w celu dokonywania czynności, o których mowa w tym przepisie, oraz ochronę danych zgromadzonych w systemie przed nieuprawnionym dostępem, przetwarzaniem, zmianą lub utratą.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zamieszcza w Biuletynie Informacji Publicznej na swojej stronie podmiotowej informację o adresie, pod którym w ogólnodostępnych sieciach teleinformatycznych jest dostępny system teleinformatyczny,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jest administratorem danych użytkowników systemu teleinformatycznego,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 rozumieniu przepisów </w:t>
      </w:r>
      <w:r>
        <w:rPr>
          <w:rFonts w:ascii="Times New Roman"/>
          <w:b w:val="false"/>
          <w:i/>
          <w:color w:val="1b1b1b"/>
          <w:sz w:val="24"/>
          <w:lang w:val="pl-PL"/>
        </w:rPr>
        <w:t>ustawy</w:t>
      </w:r>
      <w:r>
        <w:rPr>
          <w:rFonts w:ascii="Times New Roman"/>
          <w:b w:val="false"/>
          <w:i w:val="false"/>
          <w:color w:val="000000"/>
          <w:sz w:val="24"/>
          <w:lang w:val="pl-PL"/>
        </w:rPr>
        <w:t xml:space="preserve"> </w:t>
      </w:r>
      <w:r>
        <w:rPr>
          <w:rFonts w:ascii="Times New Roman"/>
          <w:b w:val="false"/>
          <w:i/>
          <w:color w:val="000000"/>
          <w:sz w:val="24"/>
          <w:lang w:val="pl-PL"/>
        </w:rPr>
        <w:t>z dnia 29 sierpnia 1997 r. o ochronie danych osobowych (Dz. U. z 2016 r. poz. 922 oraz z 2018 r. poz. 138 i 723)</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p>
    <w:p>
      <w:pPr>
        <w:spacing w:before="80" w:after="0"/>
        <w:ind w:left="0"/>
        <w:jc w:val="left"/>
        <w:textAlignment w:val="auto"/>
      </w:pPr>
      <w:r>
        <w:rPr>
          <w:rFonts w:ascii="Times New Roman"/>
          <w:b/>
          <w:i w:val="false"/>
          <w:color w:val="000000"/>
          <w:sz w:val="24"/>
          <w:lang w:val="pl-PL"/>
        </w:rPr>
        <w:t xml:space="preserve"> Art. 3b.</w:t>
      </w:r>
      <w:r>
        <w:rPr>
          <w:rFonts w:ascii="Times New Roman"/>
          <w:b/>
          <w:i w:val="false"/>
          <w:color w:val="000000"/>
          <w:sz w:val="24"/>
          <w:lang w:val="pl-PL"/>
        </w:rPr>
        <w:t xml:space="preserve"> [Zamieszczenie w BIP wzorców umów oraz informacji o zasadach rejestracji spółek, oddziałów, zasadach reprezentacji i powoływania się na informacje w Rejestrze]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zamieszcza w Biuletynie Informacji Publicznej na swojej stronie podmiotowej, co najmniej w języku polskim oraz innym języku zrozumiałym dla jak największej liczby użytkowników obcojęzycznych, wzorce umów określone w przepisach wydanych na podstawie </w:t>
      </w:r>
      <w:r>
        <w:rPr>
          <w:rFonts w:ascii="Times New Roman"/>
          <w:b w:val="false"/>
          <w:i w:val="false"/>
          <w:color w:val="1b1b1b"/>
          <w:sz w:val="24"/>
          <w:lang w:val="pl-PL"/>
        </w:rPr>
        <w:t>art. 23</w:t>
      </w:r>
      <w:r>
        <w:rPr>
          <w:rFonts w:ascii="Times New Roman"/>
          <w:b w:val="false"/>
          <w:i w:val="false"/>
          <w:color w:val="1b1b1b"/>
          <w:sz w:val="24"/>
          <w:vertAlign w:val="superscript"/>
          <w:lang w:val="pl-PL"/>
        </w:rPr>
        <w:t xml:space="preserve">1 </w:t>
      </w:r>
      <w:r>
        <w:rPr>
          <w:rFonts w:ascii="Times New Roman"/>
          <w:b w:val="false"/>
          <w:i w:val="false"/>
          <w:color w:val="1b1b1b"/>
          <w:sz w:val="24"/>
          <w:lang w:val="pl-PL"/>
        </w:rPr>
        <w:t>§ 5</w:t>
      </w:r>
      <w:r>
        <w:rPr>
          <w:rFonts w:ascii="Times New Roman"/>
          <w:b w:val="false"/>
          <w:i w:val="false"/>
          <w:color w:val="000000"/>
          <w:sz w:val="24"/>
          <w:lang w:val="pl-PL"/>
        </w:rPr>
        <w:t xml:space="preserve">, </w:t>
      </w:r>
      <w:r>
        <w:rPr>
          <w:rFonts w:ascii="Times New Roman"/>
          <w:b w:val="false"/>
          <w:i w:val="false"/>
          <w:color w:val="1b1b1b"/>
          <w:sz w:val="24"/>
          <w:lang w:val="pl-PL"/>
        </w:rPr>
        <w:t>art. 106</w:t>
      </w:r>
      <w:r>
        <w:rPr>
          <w:rFonts w:ascii="Times New Roman"/>
          <w:b w:val="false"/>
          <w:i w:val="false"/>
          <w:color w:val="1b1b1b"/>
          <w:sz w:val="24"/>
          <w:vertAlign w:val="superscript"/>
          <w:lang w:val="pl-PL"/>
        </w:rPr>
        <w:t xml:space="preserve">1 </w:t>
      </w:r>
      <w:r>
        <w:rPr>
          <w:rFonts w:ascii="Times New Roman"/>
          <w:b w:val="false"/>
          <w:i w:val="false"/>
          <w:color w:val="1b1b1b"/>
          <w:sz w:val="24"/>
          <w:lang w:val="pl-PL"/>
        </w:rPr>
        <w:t>§ 5</w:t>
      </w:r>
      <w:r>
        <w:rPr>
          <w:rFonts w:ascii="Times New Roman"/>
          <w:b w:val="false"/>
          <w:i w:val="false"/>
          <w:color w:val="000000"/>
          <w:sz w:val="24"/>
          <w:lang w:val="pl-PL"/>
        </w:rPr>
        <w:t xml:space="preserve">, </w:t>
      </w:r>
      <w:r>
        <w:rPr>
          <w:rFonts w:ascii="Times New Roman"/>
          <w:b w:val="false"/>
          <w:i w:val="false"/>
          <w:color w:val="1b1b1b"/>
          <w:sz w:val="24"/>
          <w:lang w:val="pl-PL"/>
        </w:rPr>
        <w:t>art. 157</w:t>
      </w:r>
      <w:r>
        <w:rPr>
          <w:rFonts w:ascii="Times New Roman"/>
          <w:b w:val="false"/>
          <w:i w:val="false"/>
          <w:color w:val="1b1b1b"/>
          <w:sz w:val="24"/>
          <w:vertAlign w:val="superscript"/>
          <w:lang w:val="pl-PL"/>
        </w:rPr>
        <w:t xml:space="preserve">1 </w:t>
      </w:r>
      <w:r>
        <w:rPr>
          <w:rFonts w:ascii="Times New Roman"/>
          <w:b w:val="false"/>
          <w:i w:val="false"/>
          <w:color w:val="1b1b1b"/>
          <w:sz w:val="24"/>
          <w:lang w:val="pl-PL"/>
        </w:rPr>
        <w:t>§ 5</w:t>
      </w:r>
      <w:r>
        <w:rPr>
          <w:rFonts w:ascii="Times New Roman"/>
          <w:b w:val="false"/>
          <w:i w:val="false"/>
          <w:color w:val="000000"/>
          <w:sz w:val="24"/>
          <w:lang w:val="pl-PL"/>
        </w:rPr>
        <w:t xml:space="preserve"> i </w:t>
      </w:r>
      <w:r>
        <w:rPr>
          <w:rFonts w:ascii="Times New Roman"/>
          <w:b w:val="false"/>
          <w:i w:val="false"/>
          <w:color w:val="1b1b1b"/>
          <w:sz w:val="24"/>
          <w:lang w:val="pl-PL"/>
        </w:rPr>
        <w:t>art. 300</w:t>
      </w:r>
      <w:r>
        <w:rPr>
          <w:rFonts w:ascii="Times New Roman"/>
          <w:b w:val="false"/>
          <w:i w:val="false"/>
          <w:color w:val="1b1b1b"/>
          <w:sz w:val="24"/>
          <w:vertAlign w:val="superscript"/>
          <w:lang w:val="pl-PL"/>
        </w:rPr>
        <w:t xml:space="preserve">7 </w:t>
      </w:r>
      <w:r>
        <w:rPr>
          <w:rFonts w:ascii="Times New Roman"/>
          <w:b w:val="false"/>
          <w:i w:val="false"/>
          <w:color w:val="1b1b1b"/>
          <w:sz w:val="24"/>
          <w:lang w:val="pl-PL"/>
        </w:rPr>
        <w:t>§ 5</w:t>
      </w:r>
      <w:r>
        <w:rPr>
          <w:rFonts w:ascii="Times New Roman"/>
          <w:b w:val="false"/>
          <w:i w:val="false"/>
          <w:color w:val="000000"/>
          <w:sz w:val="24"/>
          <w:lang w:val="pl-PL"/>
        </w:rPr>
        <w:t xml:space="preserve"> ustawy z dnia 15 września 2000 r. - Kodeks spółek handlowych (Dz. U. z 2024 r. poz. 18 i 96) oraz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zasadach zawiązywania i rejestracji spółek oraz rejestracji oddziałów przedsiębiorców zagranicznych, wykorzystywania wzorców umów udostępnionych w systemie teleinformatycznym, dokumentach wymaganych w postępowaniu rejestrowym, językach, w których możliwe jest zawiązywanie i rejestracja spółek oraz rejestracja oddziałów, identyfikacji osób oraz obowiązujących opłatach;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zasadach dotyczących członkostwa w organie uprawnionym do reprezentowania podmiotu i organie nadzoru spółki, w tym dotyczących zakazu pełnienia funkcji w tych organach oraz o podmiotach odpowiedzialnych za informowanie o osobach pełniących funkcje w tych organach objętych zakazem;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uprawnieniach i obowiązkach organu uprawnionego do reprezentowania podmiotu i organu nadzoru spółki.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przekazuje Komisji Europejskiej informacje o przepisach prawa krajowego regulujących powoływanie się przez osoby trzecie na dane zawarte w Rejestrze celem ich udostępnienia w systemie integracji rejestrów.</w:t>
      </w:r>
    </w:p>
    <w:p>
      <w:pPr>
        <w:spacing w:before="80"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[Centralna Informacja Rejestru]</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utworzy Centralną Informację </w:t>
      </w:r>
      <w:r>
        <w:rPr>
          <w:rFonts w:ascii="Times New Roman"/>
          <w:b w:val="false"/>
          <w:i/>
          <w:color w:val="000000"/>
          <w:sz w:val="24"/>
          <w:lang w:val="pl-PL"/>
        </w:rPr>
        <w:t>Krajowego Rejestru Sądowego</w:t>
      </w:r>
    </w:p>
    <w:p>
      <w:pPr>
        <w:spacing w:after="0"/>
        <w:ind w:left="0"/>
        <w:jc w:val="left"/>
        <w:textAlignment w:val="auto"/>
      </w:pPr>
      <w:r>
        <w:rPr>
          <w:rFonts w:ascii="Times New Roman"/>
          <w:b w:val="false"/>
          <w:i w:val="false"/>
          <w:color w:val="000000"/>
          <w:sz w:val="24"/>
          <w:lang w:val="pl-PL"/>
        </w:rPr>
        <w:t>, zwaną dalej "Centralną Informacją", z oddziałami przy sądach rejestrowych.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Zadaniem Centralnej Informacji jest:</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prowadzenie zbioru informacji Rejestru oraz elektronicznego katalogu dokumentów spółek, zwanego dalej "katalogiem";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udzielanie informacji z Rejestru oraz przechowywanie i udostępnianie kopii dokumentów z katalogu;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utworzenie i eksploatacja połączeń Rejestru i katalogu w systemie teleinformatycznym;</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utworzenie i eksploatacja połączeń Rejestru z </w:t>
      </w:r>
      <w:r>
        <w:rPr>
          <w:rFonts w:ascii="Times New Roman"/>
          <w:b w:val="false"/>
          <w:i w:val="false"/>
          <w:color w:val="1b1b1b"/>
          <w:sz w:val="24"/>
          <w:lang w:val="pl-PL"/>
        </w:rPr>
        <w:t>systemem integracji rejestrów</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Centralna Informacja wydaje odpisy, wyciągi i zaświadczenia oraz udziela informacji z Rejestru, które mają moc dokumentów urzędowych, jeżeli zostały wydane w postaci papierowej lub elektronicznej.</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Centralna Informacja wydaje z katalogu, za pośrednictwem systemu teleinformatycznego, dokumenty złożone w postaci elektronicznej albo kopie dokumentów złożonych w postaci papierowej poświadczone za zgodność z dokumentami znajdującymi się w aktach rejestrowych podmiotu.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Centralna Informacja pobiera opłaty za udzielanie informacji, wydawanie odpisów, wyciągów lub zaświadczeń z Rejestru oraz za udostępnianie z katalogu dokumentów złożonych w postaci elektronicznej i kopii dokumentów złożonych w postaci papierowej. Opłaty te stanowią dochód budżetu państwa.</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Centralna Informacja udostępnia bezpłatnie, w ogólnodostępnych sieciach teleinformatycznych, aktualne i pełne informacje o podmiotach wpisanych do Rejestru oraz listę dokumentów zawartych w katalogu.</w:t>
      </w:r>
    </w:p>
    <w:p>
      <w:pPr>
        <w:spacing w:before="26" w:after="0"/>
        <w:ind w:left="0"/>
        <w:jc w:val="left"/>
        <w:textAlignment w:val="auto"/>
      </w:pPr>
      <w:r>
        <w:rPr>
          <w:rFonts w:ascii="Times New Roman"/>
          <w:b w:val="false"/>
          <w:i w:val="false"/>
          <w:color w:val="000000"/>
          <w:sz w:val="24"/>
          <w:lang w:val="pl-PL"/>
        </w:rPr>
        <w:t>4aa.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Pobrane samodzielnie wydruki komputerowe aktualnych i pełnych informacji o podmiotach wpisanych do Rejestru mają moc zrównaną z mocą dokumentów wydawanych przez Centralną Informację, o których mowa w </w:t>
      </w:r>
      <w:r>
        <w:rPr>
          <w:rFonts w:ascii="Times New Roman"/>
          <w:b w:val="false"/>
          <w:i w:val="false"/>
          <w:color w:val="1b1b1b"/>
          <w:sz w:val="24"/>
          <w:lang w:val="pl-PL"/>
        </w:rPr>
        <w:t>ust.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Centralna Informacja udostępnia bezpłatnie, w ogólnodostępnych sieciach teleinformatycznych, listę podmiotów, wobec których w dziale 6 rejestru przedsiębiorców wpisano informację o ogłoszeniu upadłości albo o otwarciu postępowania restrukturyzacyjnego. Lista zawiera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lub firmę;</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numer podmiotu w Rejestrze;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NIP;</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siedzibę przedsiębiorcy;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datę wydania orzeczenia o ogłoszeniu upadłości albo o otwarciu postępowania restrukturyzacyjnego;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sygnaturę sprawy i określenie sądu, który ogłosił upadłość albo wydał postanowienie o otwarciu postępowania restrukturyzacyjnego;</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datę oraz sposób ukończenia postępowania upadłościowego albo postępowania restrukturyzacyjnego.</w:t>
      </w:r>
    </w:p>
    <w:p>
      <w:pPr>
        <w:spacing w:before="26" w:after="0"/>
        <w:ind w:left="0"/>
        <w:jc w:val="left"/>
        <w:textAlignment w:val="auto"/>
      </w:pPr>
      <w:r>
        <w:rPr>
          <w:rFonts w:ascii="Times New Roman"/>
          <w:b w:val="false"/>
          <w:i w:val="false"/>
          <w:color w:val="000000"/>
          <w:sz w:val="24"/>
          <w:lang w:val="pl-PL"/>
        </w:rPr>
        <w:t xml:space="preserve">4c.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Centralna Informacja udostępnia podmiotom, które uzyskały zgodę, o której mowa w </w:t>
      </w:r>
      <w:r>
        <w:rPr>
          <w:rFonts w:ascii="Times New Roman"/>
          <w:b w:val="false"/>
          <w:i w:val="false"/>
          <w:color w:val="1b1b1b"/>
          <w:sz w:val="24"/>
          <w:lang w:val="pl-PL"/>
        </w:rPr>
        <w:t>ust. 4d</w:t>
      </w:r>
      <w:r>
        <w:rPr>
          <w:rFonts w:ascii="Times New Roman"/>
          <w:b w:val="false"/>
          <w:i w:val="false"/>
          <w:color w:val="000000"/>
          <w:sz w:val="24"/>
          <w:lang w:val="pl-PL"/>
        </w:rPr>
        <w:t>, bezpłatnie informacje z Rejestru za pośrednictwem usług sieciowych.</w:t>
      </w:r>
    </w:p>
    <w:p>
      <w:pPr>
        <w:spacing w:before="26" w:after="0"/>
        <w:ind w:left="0"/>
        <w:jc w:val="left"/>
        <w:textAlignment w:val="auto"/>
      </w:pPr>
      <w:r>
        <w:rPr>
          <w:rFonts w:ascii="Times New Roman"/>
          <w:b w:val="false"/>
          <w:i w:val="false"/>
          <w:color w:val="000000"/>
          <w:sz w:val="24"/>
          <w:lang w:val="pl-PL"/>
        </w:rPr>
        <w:t xml:space="preserve">4d. </w:t>
      </w: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w drodze decyzji administracyjnej, wyraża zgodę na udostępnianie informacji z Rejestru za pośrednictwem usług sieciowych.</w:t>
      </w:r>
    </w:p>
    <w:p>
      <w:pPr>
        <w:spacing w:before="26" w:after="0"/>
        <w:ind w:left="0"/>
        <w:jc w:val="left"/>
        <w:textAlignment w:val="auto"/>
      </w:pPr>
      <w:r>
        <w:rPr>
          <w:rFonts w:ascii="Times New Roman"/>
          <w:b w:val="false"/>
          <w:i w:val="false"/>
          <w:color w:val="000000"/>
          <w:sz w:val="24"/>
          <w:lang w:val="pl-PL"/>
        </w:rPr>
        <w:t xml:space="preserve">4e. </w:t>
      </w: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publiczny w rozumieniu </w:t>
      </w:r>
      <w:r>
        <w:rPr>
          <w:rFonts w:ascii="Times New Roman"/>
          <w:b w:val="false"/>
          <w:i w:val="false"/>
          <w:color w:val="1b1b1b"/>
          <w:sz w:val="24"/>
          <w:lang w:val="pl-PL"/>
        </w:rPr>
        <w:t>art. 2 ust. 1</w:t>
      </w:r>
      <w:r>
        <w:rPr>
          <w:rFonts w:ascii="Times New Roman"/>
          <w:b w:val="false"/>
          <w:i w:val="false"/>
          <w:color w:val="000000"/>
          <w:sz w:val="24"/>
          <w:lang w:val="pl-PL"/>
        </w:rPr>
        <w:t xml:space="preserve"> ustawy z dnia 17 lutego 2005 r. o informatyzacji działalności podmiotów realizujących zadania publiczne (Dz. U. z 2024 r. poz. 1557 i 1717 oraz z 2025 r. poz. 1006, 1019, 1158 i 1301) albo podmiot niebędący podmiotem publicznym, który realizuje zadania publiczne na podstawie odrębnych przepisów albo na skutek powierzenia lub zlecenia przez podmiot publiczny ich realizacji, może wystąpić z wnioskiem o wyrażenie zgody, o której mowa w </w:t>
      </w:r>
      <w:r>
        <w:rPr>
          <w:rFonts w:ascii="Times New Roman"/>
          <w:b w:val="false"/>
          <w:i w:val="false"/>
          <w:color w:val="1b1b1b"/>
          <w:sz w:val="24"/>
          <w:lang w:val="pl-PL"/>
        </w:rPr>
        <w:t>ust. 4d</w:t>
      </w:r>
      <w:r>
        <w:rPr>
          <w:rFonts w:ascii="Times New Roman"/>
          <w:b w:val="false"/>
          <w:i w:val="false"/>
          <w:color w:val="000000"/>
          <w:sz w:val="24"/>
          <w:lang w:val="pl-PL"/>
        </w:rPr>
        <w:t>, jeżeli: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jest to niezbędne do realizacji przez ten podmiot zadań publicznych;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 posiada i stosuje urządzenia lub systemy teleinformatyczne umożliwiające identyfikację osoby uzyskującej informacje z Rejestru, zakresu informacji oraz daty ich uzyskania;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podmiot ma wdrożone zabezpieczenia techniczne i organizacyjne adekwatne do oszacowanego ryzyka, zapewniające poufność, integralność, dostępność i autentyczność przetwarzanych danych.</w:t>
      </w:r>
    </w:p>
    <w:p>
      <w:pPr>
        <w:spacing w:before="26" w:after="0"/>
        <w:ind w:left="0"/>
        <w:jc w:val="left"/>
        <w:textAlignment w:val="auto"/>
      </w:pPr>
      <w:r>
        <w:rPr>
          <w:rFonts w:ascii="Times New Roman"/>
          <w:b w:val="false"/>
          <w:i w:val="false"/>
          <w:color w:val="000000"/>
          <w:sz w:val="24"/>
          <w:lang w:val="pl-PL"/>
        </w:rPr>
        <w:t xml:space="preserve">4f. </w:t>
      </w: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 zgodę, o której mowa w </w:t>
      </w:r>
      <w:r>
        <w:rPr>
          <w:rFonts w:ascii="Times New Roman"/>
          <w:b w:val="false"/>
          <w:i w:val="false"/>
          <w:color w:val="1b1b1b"/>
          <w:sz w:val="24"/>
          <w:lang w:val="pl-PL"/>
        </w:rPr>
        <w:t>ust. 4d</w:t>
      </w:r>
      <w:r>
        <w:rPr>
          <w:rFonts w:ascii="Times New Roman"/>
          <w:b w:val="false"/>
          <w:i w:val="false"/>
          <w:color w:val="000000"/>
          <w:sz w:val="24"/>
          <w:lang w:val="pl-PL"/>
        </w:rPr>
        <w:t>, może wystąpić także podmiot uprawniony do występowania w imieniu grupy podmiotów.</w:t>
      </w:r>
    </w:p>
    <w:p>
      <w:pPr>
        <w:spacing w:before="26" w:after="0"/>
        <w:ind w:left="0"/>
        <w:jc w:val="left"/>
        <w:textAlignment w:val="auto"/>
      </w:pPr>
      <w:r>
        <w:rPr>
          <w:rFonts w:ascii="Times New Roman"/>
          <w:b w:val="false"/>
          <w:i w:val="false"/>
          <w:color w:val="000000"/>
          <w:sz w:val="24"/>
          <w:lang w:val="pl-PL"/>
        </w:rPr>
        <w:t xml:space="preserve">4g. </w:t>
      </w: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4e</w:t>
      </w:r>
      <w:r>
        <w:rPr>
          <w:rFonts w:ascii="Times New Roman"/>
          <w:b w:val="false"/>
          <w:i w:val="false"/>
          <w:color w:val="000000"/>
          <w:sz w:val="24"/>
          <w:lang w:val="pl-PL"/>
        </w:rPr>
        <w:t>,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wnioskodawcy;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podmiotu, którego dotyczy wniosek;</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wskazanie zadań, o których mowa w </w:t>
      </w:r>
      <w:r>
        <w:rPr>
          <w:rFonts w:ascii="Times New Roman"/>
          <w:b w:val="false"/>
          <w:i w:val="false"/>
          <w:color w:val="1b1b1b"/>
          <w:sz w:val="24"/>
          <w:lang w:val="pl-PL"/>
        </w:rPr>
        <w:t>ust. 4e pkt 1</w:t>
      </w:r>
      <w:r>
        <w:rPr>
          <w:rFonts w:ascii="Times New Roman"/>
          <w:b w:val="false"/>
          <w:i w:val="false"/>
          <w:color w:val="000000"/>
          <w:sz w:val="24"/>
          <w:lang w:val="pl-PL"/>
        </w:rPr>
        <w:t>, z przywołaniem przepisów, z których wynikają te zadania lub kompetencja do ich powierzenia lub zlecenia;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uzasadnienie spełnienia przesłanki niezbędności, o której mowa w </w:t>
      </w:r>
      <w:r>
        <w:rPr>
          <w:rFonts w:ascii="Times New Roman"/>
          <w:b w:val="false"/>
          <w:i w:val="false"/>
          <w:color w:val="1b1b1b"/>
          <w:sz w:val="24"/>
          <w:lang w:val="pl-PL"/>
        </w:rPr>
        <w:t>ust. 4e 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oświadczenie wnioskodawcy 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posiadaniu i stosowaniu urządzenia lub systemu teleinformatycznego umożliwiającego identyfikację osoby uzyskującej informacje z Rejestru, zakresu informacji oraz daty ich uzyskania,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wdrożeniu zabezpieczeń technicznych i organizacyjnych, adekwatnych do oszacowanego ryzyka, zapewniających poufność, integralność, dostępność i autentyczność przetwarzanych danych,</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wykorzystywaniu dostępu wyłącznie w celu określonym w ustawie,</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zabezpieczeniu uzyskanych informacji;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wskazanie osoby umocowanej do rozwiązywania technicznych problemów w zakresie uzyskiwania informacji z Rejestru za pośrednictwem usług sieciowych;</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uzasadnienie uprawnienia do występowania w imieniu grupy podmiotów - jeśli wnioskodawca składa wniosek w imieniu grupy podmiotów.</w:t>
      </w:r>
    </w:p>
    <w:p>
      <w:pPr>
        <w:spacing w:before="26" w:after="0"/>
        <w:ind w:left="0"/>
        <w:jc w:val="left"/>
        <w:textAlignment w:val="auto"/>
      </w:pPr>
      <w:r>
        <w:rPr>
          <w:rFonts w:ascii="Times New Roman"/>
          <w:b w:val="false"/>
          <w:i w:val="false"/>
          <w:color w:val="000000"/>
          <w:sz w:val="24"/>
          <w:lang w:val="pl-PL"/>
        </w:rPr>
        <w:t xml:space="preserve">4h. </w:t>
      </w: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może żądać szczegółowego wykazania spełnienia przesłanek, o których mowa w </w:t>
      </w:r>
      <w:r>
        <w:rPr>
          <w:rFonts w:ascii="Times New Roman"/>
          <w:b w:val="false"/>
          <w:i w:val="false"/>
          <w:color w:val="1b1b1b"/>
          <w:sz w:val="24"/>
          <w:lang w:val="pl-PL"/>
        </w:rPr>
        <w:t>ust. 4e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4i. </w:t>
      </w: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odmawia, w drodze decyzji administracyjnej, wyrażenia zgody, o której mowa w </w:t>
      </w:r>
      <w:r>
        <w:rPr>
          <w:rFonts w:ascii="Times New Roman"/>
          <w:b w:val="false"/>
          <w:i w:val="false"/>
          <w:color w:val="1b1b1b"/>
          <w:sz w:val="24"/>
          <w:lang w:val="pl-PL"/>
        </w:rPr>
        <w:t>ust. 4d</w:t>
      </w:r>
      <w:r>
        <w:rPr>
          <w:rFonts w:ascii="Times New Roman"/>
          <w:b w:val="false"/>
          <w:i w:val="false"/>
          <w:color w:val="000000"/>
          <w:sz w:val="24"/>
          <w:lang w:val="pl-PL"/>
        </w:rPr>
        <w:t xml:space="preserve">, jeżeli nie zostały spełnione przesłanki, o których mowa w </w:t>
      </w:r>
      <w:r>
        <w:rPr>
          <w:rFonts w:ascii="Times New Roman"/>
          <w:b w:val="false"/>
          <w:i w:val="false"/>
          <w:color w:val="1b1b1b"/>
          <w:sz w:val="24"/>
          <w:lang w:val="pl-PL"/>
        </w:rPr>
        <w:t>ust. 4e</w:t>
      </w:r>
      <w:r>
        <w:rPr>
          <w:rFonts w:ascii="Times New Roman"/>
          <w:b w:val="false"/>
          <w:i w:val="false"/>
          <w:color w:val="000000"/>
          <w:sz w:val="24"/>
          <w:lang w:val="pl-PL"/>
        </w:rPr>
        <w:t>, lub Centralna Informacja nie posiada odpowiednich do uruchomienia usługi warunków technicznych.</w:t>
      </w:r>
    </w:p>
    <w:p>
      <w:pPr>
        <w:spacing w:before="26" w:after="0"/>
        <w:ind w:left="0"/>
        <w:jc w:val="left"/>
        <w:textAlignment w:val="auto"/>
      </w:pPr>
      <w:r>
        <w:rPr>
          <w:rFonts w:ascii="Times New Roman"/>
          <w:b w:val="false"/>
          <w:i w:val="false"/>
          <w:color w:val="000000"/>
          <w:sz w:val="24"/>
          <w:lang w:val="pl-PL"/>
        </w:rPr>
        <w:t xml:space="preserve">4j. </w:t>
      </w: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któremu Minister Sprawiedliwości wyraził zgodę, o której mowa w </w:t>
      </w:r>
      <w:r>
        <w:rPr>
          <w:rFonts w:ascii="Times New Roman"/>
          <w:b w:val="false"/>
          <w:i w:val="false"/>
          <w:color w:val="1b1b1b"/>
          <w:sz w:val="24"/>
          <w:lang w:val="pl-PL"/>
        </w:rPr>
        <w:t>ust. 4d</w:t>
      </w:r>
      <w:r>
        <w:rPr>
          <w:rFonts w:ascii="Times New Roman"/>
          <w:b w:val="false"/>
          <w:i w:val="false"/>
          <w:color w:val="000000"/>
          <w:sz w:val="24"/>
          <w:lang w:val="pl-PL"/>
        </w:rPr>
        <w:t>, jest obowiązany niezwłocznie poinformować Ministra Sprawiedliwości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zaprzestaniu realizacji zadań publicznych uzasadniających dostęp do informacji z Rejestru za pośrednictwem usług sieciowych;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zmianie stosowanych urządzeń lub systemów teleinformatycznych umożliwiających identyfikację osoby uzyskującej informacje z Rejestru, zakresu informacji oraz daty ich uzyskania, mającej wpływ na sposób tej identyfikacji;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zmianie wdrożonych zabezpieczeń technicznych i organizacyjnych, adekwatnych do oszacowanego ryzyka, zapewniających poufność, integralność, dostępność i autentyczność przetwarzanych danych.</w:t>
      </w:r>
    </w:p>
    <w:p>
      <w:pPr>
        <w:spacing w:before="26" w:after="0"/>
        <w:ind w:left="0"/>
        <w:jc w:val="left"/>
        <w:textAlignment w:val="auto"/>
      </w:pPr>
      <w:r>
        <w:rPr>
          <w:rFonts w:ascii="Times New Roman"/>
          <w:b w:val="false"/>
          <w:i w:val="false"/>
          <w:color w:val="000000"/>
          <w:sz w:val="24"/>
          <w:lang w:val="pl-PL"/>
        </w:rPr>
        <w:t xml:space="preserve">4k. </w:t>
      </w: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Informacja, o której mowa w </w:t>
      </w:r>
      <w:r>
        <w:rPr>
          <w:rFonts w:ascii="Times New Roman"/>
          <w:b w:val="false"/>
          <w:i w:val="false"/>
          <w:color w:val="1b1b1b"/>
          <w:sz w:val="24"/>
          <w:lang w:val="pl-PL"/>
        </w:rPr>
        <w:t>ust. 4j pkt 2</w:t>
      </w:r>
      <w:r>
        <w:rPr>
          <w:rFonts w:ascii="Times New Roman"/>
          <w:b w:val="false"/>
          <w:i w:val="false"/>
          <w:color w:val="000000"/>
          <w:sz w:val="24"/>
          <w:lang w:val="pl-PL"/>
        </w:rPr>
        <w:t xml:space="preserve"> lub </w:t>
      </w:r>
      <w:r>
        <w:rPr>
          <w:rFonts w:ascii="Times New Roman"/>
          <w:b w:val="false"/>
          <w:i w:val="false"/>
          <w:color w:val="1b1b1b"/>
          <w:sz w:val="24"/>
          <w:lang w:val="pl-PL"/>
        </w:rPr>
        <w:t>3</w:t>
      </w:r>
      <w:r>
        <w:rPr>
          <w:rFonts w:ascii="Times New Roman"/>
          <w:b w:val="false"/>
          <w:i w:val="false"/>
          <w:color w:val="000000"/>
          <w:sz w:val="24"/>
          <w:lang w:val="pl-PL"/>
        </w:rPr>
        <w:t>, zawiera oświadczenie podmiotu, czy: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urządzenia lub systemy teleinformatyczne, o których mowa w </w:t>
      </w:r>
      <w:r>
        <w:rPr>
          <w:rFonts w:ascii="Times New Roman"/>
          <w:b w:val="false"/>
          <w:i w:val="false"/>
          <w:color w:val="1b1b1b"/>
          <w:sz w:val="24"/>
          <w:lang w:val="pl-PL"/>
        </w:rPr>
        <w:t>ust. 4j pkt 2</w:t>
      </w:r>
      <w:r>
        <w:rPr>
          <w:rFonts w:ascii="Times New Roman"/>
          <w:b w:val="false"/>
          <w:i w:val="false"/>
          <w:color w:val="000000"/>
          <w:sz w:val="24"/>
          <w:lang w:val="pl-PL"/>
        </w:rPr>
        <w:t>, umożliwiają identyfikację osoby uzyskującej informacje z Rejestru, zakresu informacji oraz daty ich uzyskania;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wdrożone zabezpieczenia techniczne i organizacyjne, o których mowa w </w:t>
      </w:r>
      <w:r>
        <w:rPr>
          <w:rFonts w:ascii="Times New Roman"/>
          <w:b w:val="false"/>
          <w:i w:val="false"/>
          <w:color w:val="1b1b1b"/>
          <w:sz w:val="24"/>
          <w:lang w:val="pl-PL"/>
        </w:rPr>
        <w:t>ust. 4j pkt 3</w:t>
      </w:r>
      <w:r>
        <w:rPr>
          <w:rFonts w:ascii="Times New Roman"/>
          <w:b w:val="false"/>
          <w:i w:val="false"/>
          <w:color w:val="000000"/>
          <w:sz w:val="24"/>
          <w:lang w:val="pl-PL"/>
        </w:rPr>
        <w:t>, zapewniają poufność, integralność, dostępność i autentyczność przetwarzanych danych.</w:t>
      </w:r>
    </w:p>
    <w:p>
      <w:pPr>
        <w:spacing w:before="26" w:after="0"/>
        <w:ind w:left="0"/>
        <w:jc w:val="left"/>
        <w:textAlignment w:val="auto"/>
      </w:pPr>
      <w:r>
        <w:rPr>
          <w:rFonts w:ascii="Times New Roman"/>
          <w:b w:val="false"/>
          <w:i w:val="false"/>
          <w:color w:val="000000"/>
          <w:sz w:val="24"/>
          <w:lang w:val="pl-PL"/>
        </w:rPr>
        <w:t xml:space="preserve">4l. </w:t>
      </w: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któremu Minister Sprawiedliwości wyraził zgodę, o której mowa w </w:t>
      </w:r>
      <w:r>
        <w:rPr>
          <w:rFonts w:ascii="Times New Roman"/>
          <w:b w:val="false"/>
          <w:i w:val="false"/>
          <w:color w:val="1b1b1b"/>
          <w:sz w:val="24"/>
          <w:lang w:val="pl-PL"/>
        </w:rPr>
        <w:t>ust. 4d</w:t>
      </w:r>
      <w:r>
        <w:rPr>
          <w:rFonts w:ascii="Times New Roman"/>
          <w:b w:val="false"/>
          <w:i w:val="false"/>
          <w:color w:val="000000"/>
          <w:sz w:val="24"/>
          <w:lang w:val="pl-PL"/>
        </w:rPr>
        <w:t xml:space="preserve">, jest obowiązany do powstrzymania się od korzystania z dostępu do danych za pośrednictwem usług sieciowych w sytuacji niespełnienia którejkolwiek z przesłanek, o których mowa w </w:t>
      </w:r>
      <w:r>
        <w:rPr>
          <w:rFonts w:ascii="Times New Roman"/>
          <w:b w:val="false"/>
          <w:i w:val="false"/>
          <w:color w:val="1b1b1b"/>
          <w:sz w:val="24"/>
          <w:lang w:val="pl-PL"/>
        </w:rPr>
        <w:t>ust. 4e</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 xml:space="preserve">4m. </w:t>
      </w: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cofa, w drodze decyzji administracyjnej, zgodę, o której mowa w </w:t>
      </w:r>
      <w:r>
        <w:rPr>
          <w:rFonts w:ascii="Times New Roman"/>
          <w:b w:val="false"/>
          <w:i w:val="false"/>
          <w:color w:val="1b1b1b"/>
          <w:sz w:val="24"/>
          <w:lang w:val="pl-PL"/>
        </w:rPr>
        <w:t>ust. 4d</w:t>
      </w:r>
      <w:r>
        <w:rPr>
          <w:rFonts w:ascii="Times New Roman"/>
          <w:b w:val="false"/>
          <w:i w:val="false"/>
          <w:color w:val="000000"/>
          <w:sz w:val="24"/>
          <w:lang w:val="pl-PL"/>
        </w:rPr>
        <w:t xml:space="preserve">, jeżeli przestała istnieć którakolwiek z przesłanek, o których mowa w </w:t>
      </w:r>
      <w:r>
        <w:rPr>
          <w:rFonts w:ascii="Times New Roman"/>
          <w:b w:val="false"/>
          <w:i w:val="false"/>
          <w:color w:val="1b1b1b"/>
          <w:sz w:val="24"/>
          <w:lang w:val="pl-PL"/>
        </w:rPr>
        <w:t>ust. 4e</w:t>
      </w:r>
      <w:r>
        <w:rPr>
          <w:rFonts w:ascii="Times New Roman"/>
          <w:b w:val="false"/>
          <w:i w:val="false"/>
          <w:color w:val="000000"/>
          <w:sz w:val="24"/>
          <w:lang w:val="pl-PL"/>
        </w:rPr>
        <w:t>, a także gdy Centralna Informacja przestała posiadać odpowiednie warunki techniczne do utrzymywania usługi.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4a.</w:t>
      </w:r>
      <w:r>
        <w:rPr>
          <w:rFonts w:ascii="Times New Roman"/>
          <w:b/>
          <w:i w:val="false"/>
          <w:color w:val="000000"/>
          <w:sz w:val="24"/>
          <w:lang w:val="pl-PL"/>
        </w:rPr>
        <w:t xml:space="preserve"> [Zadania Centralnej Informacji związane z obsługą systemu BRIS]</w:t>
      </w:r>
    </w:p>
    <w:p>
      <w:pPr>
        <w:spacing w:after="0"/>
        <w:ind w:left="0"/>
        <w:jc w:val="left"/>
        <w:textAlignment w:val="auto"/>
      </w:pPr>
      <w:r>
        <w:rPr>
          <w:rFonts w:ascii="Times New Roman"/>
          <w:b w:val="false"/>
          <w:i w:val="false"/>
          <w:color w:val="000000"/>
          <w:sz w:val="24"/>
          <w:lang w:val="pl-PL"/>
        </w:rPr>
        <w:t>Za pośrednictwem systemu integracji rejestrów Centralna Informacja: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udostępnia bezpłatnie - w przypadku spółek z ograniczoną odpowiedzialnością, spółek akcyjnych, prostych spółek akcyjnych, spółek komandytowo-akcyjnych, spółek europejskich oraz oddziałów przedsiębiorców zagranicznych działających na terytorium Rzeczypospolitej Polskiej - aktualne informacje albo informację o wykreśleniu tych podmiotów z Rejestru, listę dokumentów, o których mowa w </w:t>
      </w:r>
      <w:r>
        <w:rPr>
          <w:rFonts w:ascii="Times New Roman"/>
          <w:b w:val="false"/>
          <w:i w:val="false"/>
          <w:color w:val="1b1b1b"/>
          <w:sz w:val="24"/>
          <w:lang w:val="pl-PL"/>
        </w:rPr>
        <w:t>art. 4 ust. 4a</w:t>
      </w:r>
      <w:r>
        <w:rPr>
          <w:rFonts w:ascii="Times New Roman"/>
          <w:b w:val="false"/>
          <w:i w:val="false"/>
          <w:color w:val="000000"/>
          <w:sz w:val="24"/>
          <w:lang w:val="pl-PL"/>
        </w:rPr>
        <w:t xml:space="preserve">, oraz ich niepowtarzalny identyfikator europejski, o którym mowa w pkt (sekcji) 9 </w:t>
      </w:r>
      <w:r>
        <w:rPr>
          <w:rFonts w:ascii="Times New Roman"/>
          <w:b w:val="false"/>
          <w:i w:val="false"/>
          <w:color w:val="1b1b1b"/>
          <w:sz w:val="24"/>
          <w:lang w:val="pl-PL"/>
        </w:rPr>
        <w:t>załącznika</w:t>
      </w:r>
      <w:r>
        <w:rPr>
          <w:rFonts w:ascii="Times New Roman"/>
          <w:b w:val="false"/>
          <w:i w:val="false"/>
          <w:color w:val="000000"/>
          <w:sz w:val="24"/>
          <w:lang w:val="pl-PL"/>
        </w:rPr>
        <w:t xml:space="preserve"> do rozporządzenia wykonawczego Komisji (UE) 2021/1042 z dnia 18 czerwca 2021 r. ustanawiającego zasady stosowania dyrektywy Parlamentu Europejskiego i Rady (UE) 2017/1132 w odniesieniu do specyfikacji technicznych i procedur dotyczących systemu integracji rejestrów oraz uchylającego rozporządzenie wykonawcze Komisji (UE) 2020/2244 (Dz. Urz. L 225 z 25.06.2021, str. 7), a w przypadku spółek, które utworzyły oddziały w innym państwie członkowskim Unii Europejskiej lub państwie członkowskim Europejskiego Porozumienia o Wolnym Handlu (EFTA) - stronie umowy o Europejskim Obszarze Gospodarczym - także niepowtarzalny identyfikator europejski oddziału, numer oddziału w rejestrze oraz oznaczenie państwa, w którym zarejestrowano oddział;</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wydaje kopie dokumentów złożonych w postaci papierowej oraz dokumenty złożone w postaci elektronicznej, o których mowa w </w:t>
      </w:r>
      <w:r>
        <w:rPr>
          <w:rFonts w:ascii="Times New Roman"/>
          <w:b w:val="false"/>
          <w:i w:val="false"/>
          <w:color w:val="1b1b1b"/>
          <w:sz w:val="24"/>
          <w:lang w:val="pl-PL"/>
        </w:rPr>
        <w:t>art. 4 ust. 3a</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przekazuje bezpłatnie do właściwych rejestrów informacje o otwarciu likwidacji, zakończeniu likwidacji, ogłoszeniu upadłości, zakończeniu postępowania upadłościowego oraz o wykreśleniu spółek, o których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przekazuje bezpłatnie do właściwych rejestrów informacje o zarejestrowaniu i wykreśleniu oddziału przedsiębiorcy zagranicznego działającego na terytorium Rzeczypospolitej Polskiej;</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przekazuje bezpłatnie do właściwych rejestrów informacje o zmianach następujących informacji dotyczących spółek, o których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firmy,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siedziby,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numeru w Rejestrze,</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formy prawnej,</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oznaczenia organu uprawnionego do reprezentowania podmiotu oraz osób wchodzących w jego skład, ze wskazaniem sposobu reprezentacji,</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oznaczenia organu nadzoru oraz osób wchodzących w jego skład;</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przekazuje bezpłatnie do właściwych rejestrów informacje o złożeniu dokumentów, o których mowa w </w:t>
      </w:r>
      <w:r>
        <w:rPr>
          <w:rFonts w:ascii="Times New Roman"/>
          <w:b w:val="false"/>
          <w:i w:val="false"/>
          <w:color w:val="1b1b1b"/>
          <w:sz w:val="24"/>
          <w:lang w:val="pl-PL"/>
        </w:rPr>
        <w:t>art. 8a ust. 1 pkt 5</w:t>
      </w:r>
      <w:r>
        <w:rPr>
          <w:rFonts w:ascii="Times New Roman"/>
          <w:b w:val="false"/>
          <w:i w:val="false"/>
          <w:color w:val="000000"/>
          <w:sz w:val="24"/>
          <w:lang w:val="pl-PL"/>
        </w:rPr>
        <w:t>, wraz z oznaczeniem roku obrotowego;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potwierdza otrzymanie informacji, o których mowa w </w:t>
      </w:r>
      <w:r>
        <w:rPr>
          <w:rFonts w:ascii="Times New Roman"/>
          <w:b w:val="false"/>
          <w:i w:val="false"/>
          <w:color w:val="1b1b1b"/>
          <w:sz w:val="24"/>
          <w:lang w:val="pl-PL"/>
        </w:rPr>
        <w:t>art. 21d 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4b.</w:t>
      </w:r>
      <w:r>
        <w:rPr>
          <w:rFonts w:ascii="Times New Roman"/>
          <w:b/>
          <w:i w:val="false"/>
          <w:color w:val="000000"/>
          <w:sz w:val="24"/>
          <w:lang w:val="pl-PL"/>
        </w:rPr>
        <w:t xml:space="preserve"> [Ponowne wykorzystywanie danych i informacji o podmiotach wpisanych do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i informacje o podmiotach wpisanych do Rejestru są przekazywane w celu ponownego wykorzystywania, z zachowaniem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11 sierpnia 2021 r. o otwartych danych i ponownym wykorzystywaniu informacji sektora publicznego (Dz. U. z 2023 r. poz. 1524), jeżeli przepisy ustawy nie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Centralna Informacja przekazuje, za pośrednictwem systemu teleinformatycznego, dane i informacje o podmiotach wpisanych do Rejestru w celu ponownego wykorzystywania na wniosek złożony w postaci elektronicznej opatrzony kwalifikowanym podpisem elektronicznym, podpisem zaufanym albo podpisem osobistym. Dane zgromadzone w Rejestrze udostępnia się w celu ponownego wykorzystywania także za pośrednictwem interfejsu programistycznego aplikacji (API).</w:t>
      </w:r>
    </w:p>
    <w:p>
      <w:pPr>
        <w:spacing w:before="80" w:after="0"/>
        <w:ind w:left="0"/>
        <w:jc w:val="left"/>
        <w:textAlignment w:val="auto"/>
      </w:pPr>
      <w:r>
        <w:rPr>
          <w:rFonts w:ascii="Times New Roman"/>
          <w:b/>
          <w:i w:val="false"/>
          <w:color w:val="000000"/>
          <w:sz w:val="24"/>
          <w:lang w:val="pl-PL"/>
        </w:rPr>
        <w:t xml:space="preserve"> Art. 4c.</w:t>
      </w:r>
      <w:r>
        <w:rPr>
          <w:rFonts w:ascii="Times New Roman"/>
          <w:b/>
          <w:i w:val="false"/>
          <w:color w:val="000000"/>
          <w:sz w:val="24"/>
          <w:lang w:val="pl-PL"/>
        </w:rPr>
        <w:t xml:space="preserve"> [Dokumenty i informacje udostępniane lub przekazywane przez Centralną Informację w przypadku przekształcenia, podziału lub połączenia transgranicznego]</w:t>
      </w:r>
    </w:p>
    <w:p>
      <w:pPr>
        <w:spacing w:after="0"/>
        <w:ind w:left="0"/>
        <w:jc w:val="left"/>
        <w:textAlignment w:val="auto"/>
      </w:pPr>
      <w:r>
        <w:rPr>
          <w:rFonts w:ascii="Times New Roman"/>
          <w:b w:val="false"/>
          <w:i w:val="false"/>
          <w:color w:val="000000"/>
          <w:sz w:val="24"/>
          <w:lang w:val="pl-PL"/>
        </w:rPr>
        <w:t>Za pośrednictwem systemu integracji rejestrów Centralna Informacja bezpłatnie: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udostępnia - w przypadku przekształcenia, podziału lub połączenia transgranicznego - odpowiednio plan przekształcenia, podziału lub połączenia transgranicznego, zawiadomienie o możliwości złożenia przez wspólników, wierzycieli, przedstawicieli pracowników, a w braku takich przedstawicieli - pracowników, uwag dotyczących tego planu oraz opinię biegłego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udostępnia złożone na podstawie </w:t>
      </w:r>
      <w:r>
        <w:rPr>
          <w:rFonts w:ascii="Times New Roman"/>
          <w:b w:val="false"/>
          <w:i w:val="false"/>
          <w:color w:val="1b1b1b"/>
          <w:sz w:val="24"/>
          <w:lang w:val="pl-PL"/>
        </w:rPr>
        <w:t>art. 516</w:t>
      </w:r>
      <w:r>
        <w:rPr>
          <w:rFonts w:ascii="Times New Roman"/>
          <w:b w:val="false"/>
          <w:i w:val="false"/>
          <w:color w:val="1b1b1b"/>
          <w:sz w:val="24"/>
          <w:vertAlign w:val="superscript"/>
          <w:lang w:val="pl-PL"/>
        </w:rPr>
        <w:t>4</w:t>
      </w:r>
      <w:r>
        <w:rPr>
          <w:rFonts w:ascii="Times New Roman"/>
          <w:b w:val="false"/>
          <w:i w:val="false"/>
          <w:color w:val="1b1b1b"/>
          <w:sz w:val="24"/>
          <w:lang w:val="pl-PL"/>
        </w:rPr>
        <w:t xml:space="preserve"> § 4</w:t>
      </w:r>
      <w:r>
        <w:rPr>
          <w:rFonts w:ascii="Times New Roman"/>
          <w:b w:val="false"/>
          <w:i w:val="false"/>
          <w:color w:val="000000"/>
          <w:sz w:val="24"/>
          <w:lang w:val="pl-PL"/>
        </w:rPr>
        <w:t xml:space="preserve">, </w:t>
      </w:r>
      <w:r>
        <w:rPr>
          <w:rFonts w:ascii="Times New Roman"/>
          <w:b w:val="false"/>
          <w:i w:val="false"/>
          <w:color w:val="1b1b1b"/>
          <w:sz w:val="24"/>
          <w:lang w:val="pl-PL"/>
        </w:rPr>
        <w:t>art. 550</w:t>
      </w:r>
      <w:r>
        <w:rPr>
          <w:rFonts w:ascii="Times New Roman"/>
          <w:b w:val="false"/>
          <w:i w:val="false"/>
          <w:color w:val="1b1b1b"/>
          <w:sz w:val="24"/>
          <w:vertAlign w:val="superscript"/>
          <w:lang w:val="pl-PL"/>
        </w:rPr>
        <w:t xml:space="preserve">9 </w:t>
      </w:r>
      <w:r>
        <w:rPr>
          <w:rFonts w:ascii="Times New Roman"/>
          <w:b w:val="false"/>
          <w:i w:val="false"/>
          <w:color w:val="1b1b1b"/>
          <w:sz w:val="24"/>
          <w:lang w:val="pl-PL"/>
        </w:rPr>
        <w:t>§ 3</w:t>
      </w:r>
      <w:r>
        <w:rPr>
          <w:rFonts w:ascii="Times New Roman"/>
          <w:b w:val="false"/>
          <w:i w:val="false"/>
          <w:color w:val="000000"/>
          <w:sz w:val="24"/>
          <w:lang w:val="pl-PL"/>
        </w:rPr>
        <w:t xml:space="preserve"> i </w:t>
      </w:r>
      <w:r>
        <w:rPr>
          <w:rFonts w:ascii="Times New Roman"/>
          <w:b w:val="false"/>
          <w:i w:val="false"/>
          <w:color w:val="1b1b1b"/>
          <w:sz w:val="24"/>
          <w:lang w:val="pl-PL"/>
        </w:rPr>
        <w:t>art. 580</w:t>
      </w:r>
      <w:r>
        <w:rPr>
          <w:rFonts w:ascii="Times New Roman"/>
          <w:b w:val="false"/>
          <w:i w:val="false"/>
          <w:color w:val="1b1b1b"/>
          <w:sz w:val="24"/>
          <w:vertAlign w:val="superscript"/>
          <w:lang w:val="pl-PL"/>
        </w:rPr>
        <w:t xml:space="preserve">7 </w:t>
      </w:r>
      <w:r>
        <w:rPr>
          <w:rFonts w:ascii="Times New Roman"/>
          <w:b w:val="false"/>
          <w:i w:val="false"/>
          <w:color w:val="1b1b1b"/>
          <w:sz w:val="24"/>
          <w:lang w:val="pl-PL"/>
        </w:rPr>
        <w:t>§ 3</w:t>
      </w:r>
      <w:r>
        <w:rPr>
          <w:rFonts w:ascii="Times New Roman"/>
          <w:b w:val="false"/>
          <w:i w:val="false"/>
          <w:color w:val="000000"/>
          <w:sz w:val="24"/>
          <w:lang w:val="pl-PL"/>
        </w:rPr>
        <w:t xml:space="preserve"> ustawy z dnia 15 września 2000 r. - Kodeks spółek handlowych informacje 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formie prawnej, firmie i siedzibie statutowej spółki przekształcanej, dzielonej, łączącej się oraz formie prawnej, firmie i siedzibie statutowej, proponowanej dla spółki powstałej wskutek przekształcenia transgranicznego, dla spółki albo spółek nowo zawiązanych wskutek podziału transgranicznego, dla spółki przejmującej albo spółki nowo zawiązanej wskutek połączenia transgranicznego,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rejestrze, do którego zostały złożone dokumenty odpowiednio spółki przekształcanej, dzielonej, każdej z łączących się spółek, a także ich numery w rejestrze,</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warunkach wykonywania praw wierzycieli, pracowników i wspólników,</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adresie strony internetowej, na której można bezpłatnie uzyskać dokumenty, o których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udostępnia - w przypadku przekształcenia, podziału lub połączenia transgranicznego - zaświadczenie o zgodności z prawem polskim odpowiednio przekształcenia, podziału lub połączenia transgranicznego w zakresie procedury podlegającej temu prawu;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udostępnia - w przypadku przekształcenia, podziału lub połączenia transgranicznego - następujące dane: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informację, że rejestracja spółki jest wynikiem odpowiednio przekształcenia, podziału lub połączenia transgranicznego,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datę wpisu do Rejestru spółki odpowiednio przekształconej, powstałej w wyniku połączenia lub podziału transgranicznego,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informację, że wykreślenie spółki z Rejestru jest wynikiem odpowiednio przekształcenia, połączenia lub podziału transgranicznego; nie dotyczy to podziału przez wydzielenie albo podziału przez wyodrębnienie,</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datę wykreślenia spółki przekształcanej, dzielonej oraz łączących się spółek z Rejestru; nie dotyczy to podziału przez wydzielenie albo podziału przez wyodrębnienie,</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numer spółki w rejestrze, firmę i formę prawną odpowiednio spółki przekształcanej, przekształconej, łączącej się, powstałej w wyniku połączenia, dzielonej i spółek powstałych w wyniku podziału transgranicznego;</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przekazuje do właściwych rejestrów zaświadczenie o zgodności z prawem polskim odpowiednio przekształcenia, podziału lub połączenia transgranicznego w zakresie procedury podlegającej temu prawu;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przekazuje do właściwych rejestrów spółek informacje o przekształceniu, połączeniu transgranicznym, a w przypadku podziału transgranicznego informacje o zarejestrowaniu spółek nowo zawiązanych oraz o tym, że podział transgraniczny stał się skuteczny.</w:t>
      </w:r>
    </w:p>
    <w:p>
      <w:pPr>
        <w:spacing w:before="80" w:after="0"/>
        <w:ind w:left="0"/>
        <w:jc w:val="left"/>
        <w:textAlignment w:val="auto"/>
      </w:pPr>
      <w:r>
        <w:rPr>
          <w:rFonts w:ascii="Times New Roman"/>
          <w:b/>
          <w:i w:val="false"/>
          <w:color w:val="000000"/>
          <w:sz w:val="24"/>
          <w:lang w:val="pl-PL"/>
        </w:rPr>
        <w:t xml:space="preserve"> Art. 4d.</w:t>
      </w:r>
      <w:r>
        <w:rPr>
          <w:rFonts w:ascii="Times New Roman"/>
          <w:b/>
          <w:i w:val="false"/>
          <w:color w:val="000000"/>
          <w:sz w:val="24"/>
          <w:lang w:val="pl-PL"/>
        </w:rPr>
        <w:t xml:space="preserve"> [Realizacja zapytań o udzielenie informacji o osobie istotnych dla zakazu pełnienia funkcji kierowniczych]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otrzymuje z właściwych rejestrów za pośrednictwem systemu integracji rejestrów zapytanie, czy dana osoba jest objęta zakazem pełnienia funkcji w rozumieniu </w:t>
      </w:r>
      <w:r>
        <w:rPr>
          <w:rFonts w:ascii="Times New Roman"/>
          <w:b w:val="false"/>
          <w:i w:val="false"/>
          <w:color w:val="1b1b1b"/>
          <w:sz w:val="24"/>
          <w:lang w:val="pl-PL"/>
        </w:rPr>
        <w:t>art. 13i ust. 1</w:t>
      </w:r>
      <w:r>
        <w:rPr>
          <w:rFonts w:ascii="Times New Roman"/>
          <w:b w:val="false"/>
          <w:i w:val="false"/>
          <w:color w:val="000000"/>
          <w:sz w:val="24"/>
          <w:lang w:val="pl-PL"/>
        </w:rPr>
        <w:t xml:space="preserve"> dyrektywy Parlamentu Europejskiego i Rady (UE) 2017/1132 z dnia 14 czerwca 2017 r. w sprawie niektórych aspektów prawa spółek (Dz. Urz. UE L 169 z 30.06.2017, str. 46-127, z późn. zm.) lub figuruje w którymkolwiek z rejestrów zawierających informacje istotne dla tego zakazu, na zasadach i w zakresie określonych w </w:t>
      </w:r>
      <w:r>
        <w:rPr>
          <w:rFonts w:ascii="Times New Roman"/>
          <w:b w:val="false"/>
          <w:i w:val="false"/>
          <w:color w:val="1b1b1b"/>
          <w:sz w:val="24"/>
          <w:lang w:val="pl-PL"/>
        </w:rPr>
        <w:t>sekcji 16</w:t>
      </w:r>
      <w:r>
        <w:rPr>
          <w:rFonts w:ascii="Times New Roman"/>
          <w:b w:val="false"/>
          <w:i w:val="false"/>
          <w:color w:val="000000"/>
          <w:sz w:val="24"/>
          <w:lang w:val="pl-PL"/>
        </w:rPr>
        <w:t xml:space="preserve"> </w:t>
      </w:r>
      <w:r>
        <w:rPr>
          <w:rFonts w:ascii="Times New Roman"/>
          <w:b w:val="false"/>
          <w:i w:val="false"/>
          <w:color w:val="1b1b1b"/>
          <w:sz w:val="24"/>
          <w:lang w:val="pl-PL"/>
        </w:rPr>
        <w:t>załącznika</w:t>
      </w:r>
      <w:r>
        <w:rPr>
          <w:rFonts w:ascii="Times New Roman"/>
          <w:b w:val="false"/>
          <w:i w:val="false"/>
          <w:color w:val="000000"/>
          <w:sz w:val="24"/>
          <w:lang w:val="pl-PL"/>
        </w:rPr>
        <w:t xml:space="preserve"> do rozporządzenia wykonawczego Komisji (UE) 2021/1042 z dnia 18 czerwca 2021 r. ustanawiającego zasady stosowania </w:t>
      </w:r>
      <w:r>
        <w:rPr>
          <w:rFonts w:ascii="Times New Roman"/>
          <w:b w:val="false"/>
          <w:i w:val="false"/>
          <w:color w:val="1b1b1b"/>
          <w:sz w:val="24"/>
          <w:lang w:val="pl-PL"/>
        </w:rPr>
        <w:t>dyrektywy</w:t>
      </w:r>
      <w:r>
        <w:rPr>
          <w:rFonts w:ascii="Times New Roman"/>
          <w:b w:val="false"/>
          <w:i w:val="false"/>
          <w:color w:val="000000"/>
          <w:sz w:val="24"/>
          <w:lang w:val="pl-PL"/>
        </w:rPr>
        <w:t xml:space="preserve"> Parlamentu Europejskiego i Rady (UE) 2017/1132 w odniesieniu do specyfikacji technicznych i procedur dotyczących systemu integracji rejestrów oraz uchylającego </w:t>
      </w:r>
      <w:r>
        <w:rPr>
          <w:rFonts w:ascii="Times New Roman"/>
          <w:b w:val="false"/>
          <w:i w:val="false"/>
          <w:color w:val="1b1b1b"/>
          <w:sz w:val="24"/>
          <w:lang w:val="pl-PL"/>
        </w:rPr>
        <w:t>rozporządzenie</w:t>
      </w:r>
      <w:r>
        <w:rPr>
          <w:rFonts w:ascii="Times New Roman"/>
          <w:b w:val="false"/>
          <w:i w:val="false"/>
          <w:color w:val="000000"/>
          <w:sz w:val="24"/>
          <w:lang w:val="pl-PL"/>
        </w:rPr>
        <w:t xml:space="preserve"> wykonawcze Komisji (UE) 2020/2244.</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Sąd rejestrowy otrzymuje, za pośrednictwem systemu teleinformatycznego, informację, czy dane osoby, której dotyczy zapytanie, figurują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Krajowym Rejestrze Karnym, w zakresie skazań za przestępstwa, o których mowa w </w:t>
      </w:r>
      <w:r>
        <w:rPr>
          <w:rFonts w:ascii="Times New Roman"/>
          <w:b w:val="false"/>
          <w:i w:val="false"/>
          <w:color w:val="1b1b1b"/>
          <w:sz w:val="24"/>
          <w:lang w:val="pl-PL"/>
        </w:rPr>
        <w:t>art. 18 § 2</w:t>
      </w:r>
      <w:r>
        <w:rPr>
          <w:rFonts w:ascii="Times New Roman"/>
          <w:b w:val="false"/>
          <w:i w:val="false"/>
          <w:color w:val="000000"/>
          <w:sz w:val="24"/>
          <w:lang w:val="pl-PL"/>
        </w:rPr>
        <w:t xml:space="preserve"> ustawy z dnia 15 września 2000 r. - Kodeks spółek handlowych, oraz w zakresie orzeczonych środków karnych, o których mowa w </w:t>
      </w:r>
      <w:r>
        <w:rPr>
          <w:rFonts w:ascii="Times New Roman"/>
          <w:b w:val="false"/>
          <w:i w:val="false"/>
          <w:color w:val="1b1b1b"/>
          <w:sz w:val="24"/>
          <w:lang w:val="pl-PL"/>
        </w:rPr>
        <w:t>art. 39 pkt 2</w:t>
      </w:r>
      <w:r>
        <w:rPr>
          <w:rFonts w:ascii="Times New Roman"/>
          <w:b w:val="false"/>
          <w:i w:val="false"/>
          <w:color w:val="000000"/>
          <w:sz w:val="24"/>
          <w:lang w:val="pl-PL"/>
        </w:rPr>
        <w:t xml:space="preserve"> i </w:t>
      </w:r>
      <w:r>
        <w:rPr>
          <w:rFonts w:ascii="Times New Roman"/>
          <w:b w:val="false"/>
          <w:i w:val="false"/>
          <w:color w:val="1b1b1b"/>
          <w:sz w:val="24"/>
          <w:lang w:val="pl-PL"/>
        </w:rPr>
        <w:t>2aa</w:t>
      </w:r>
      <w:r>
        <w:rPr>
          <w:rFonts w:ascii="Times New Roman"/>
          <w:b w:val="false"/>
          <w:i w:val="false"/>
          <w:color w:val="000000"/>
          <w:sz w:val="24"/>
          <w:lang w:val="pl-PL"/>
        </w:rPr>
        <w:t xml:space="preserve"> ustawy z dnia 6 czerwca 1997 r. - Kodeks karny (Dz. U. z 2025 r. poz. 383);</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rejestrze dłużników niewypłacalnych oraz Krajowym Rejestrze Zadłużonych w zakresie orzeczonych zakazów, o których mowa w </w:t>
      </w:r>
      <w:r>
        <w:rPr>
          <w:rFonts w:ascii="Times New Roman"/>
          <w:b w:val="false"/>
          <w:i w:val="false"/>
          <w:color w:val="1b1b1b"/>
          <w:sz w:val="24"/>
          <w:lang w:val="pl-PL"/>
        </w:rPr>
        <w:t>art. 373</w:t>
      </w:r>
      <w:r>
        <w:rPr>
          <w:rFonts w:ascii="Times New Roman"/>
          <w:b w:val="false"/>
          <w:i w:val="false"/>
          <w:color w:val="000000"/>
          <w:sz w:val="24"/>
          <w:lang w:val="pl-PL"/>
        </w:rPr>
        <w:t xml:space="preserve"> ustawy z dnia 28 lutego 2003 r. - Prawo upadłościowe (Dz. U. z 2025 r. poz. 614);</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wykazie prowadzonym przez Komisję Nadzoru Finansowego na podstawie </w:t>
      </w:r>
      <w:r>
        <w:rPr>
          <w:rFonts w:ascii="Times New Roman"/>
          <w:b w:val="false"/>
          <w:i w:val="false"/>
          <w:color w:val="1b1b1b"/>
          <w:sz w:val="24"/>
          <w:lang w:val="pl-PL"/>
        </w:rPr>
        <w:t>art. 4 ust. 7</w:t>
      </w:r>
      <w:r>
        <w:rPr>
          <w:rFonts w:ascii="Times New Roman"/>
          <w:b w:val="false"/>
          <w:i w:val="false"/>
          <w:color w:val="000000"/>
          <w:sz w:val="24"/>
          <w:lang w:val="pl-PL"/>
        </w:rPr>
        <w:t xml:space="preserve"> ustawy z dnia 21 lipca 2006 r. o nadzorze nad rynkiem finansowym (Dz. U. z 2025 r. poz. 640);</w:t>
      </w:r>
    </w:p>
    <w:p>
      <w:pPr>
        <w:spacing w:before="26" w:after="0"/>
        <w:ind w:left="373"/>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 xml:space="preserve">wykazach prowadzonych przez organy właściwe do spraw cyberbezpieczeństwa na podstawie </w:t>
      </w:r>
      <w:r>
        <w:rPr>
          <w:rFonts w:ascii="Times New Roman"/>
          <w:b w:val="false"/>
          <w:i w:val="false"/>
          <w:color w:val="1b1b1b"/>
          <w:sz w:val="24"/>
          <w:lang w:val="pl-PL"/>
        </w:rPr>
        <w:t>art. 42 ust. 11</w:t>
      </w:r>
      <w:r>
        <w:rPr>
          <w:rFonts w:ascii="Times New Roman"/>
          <w:b w:val="false"/>
          <w:i w:val="false"/>
          <w:color w:val="000000"/>
          <w:sz w:val="24"/>
          <w:lang w:val="pl-PL"/>
        </w:rPr>
        <w:t xml:space="preserve"> ustawy z dnia 5 lipca 2018 r. o krajowym systemie cyberbezpieczeństwa (Dz. U. z 2026 r. poz. 20 i 252).</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gdy dane identyfikacyjne osoby objętej zapytaniem nie są wystarczające do jednoznacznej identyfikacji osoby, sąd rejestrowy przekazuje do właściwych rejestrów za pośrednictwem systemu integracji rejestrów informację o braku wystarczających danych do identyfikacji.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dane osoby, której dotyczy zapytanie, figurują w którymkolwiek z rejestrów lub w wykazie wymienionych w </w:t>
      </w:r>
      <w:r>
        <w:rPr>
          <w:rFonts w:ascii="Times New Roman"/>
          <w:b w:val="false"/>
          <w:i w:val="false"/>
          <w:color w:val="1b1b1b"/>
          <w:sz w:val="24"/>
          <w:lang w:val="pl-PL"/>
        </w:rPr>
        <w:t>ust. 2</w:t>
      </w:r>
      <w:r>
        <w:rPr>
          <w:rFonts w:ascii="Times New Roman"/>
          <w:b w:val="false"/>
          <w:i w:val="false"/>
          <w:color w:val="000000"/>
          <w:sz w:val="24"/>
          <w:lang w:val="pl-PL"/>
        </w:rPr>
        <w:t xml:space="preserve">, w zakresie w nim określonym, sąd rejestrowy ustala istnienie zakazu wymienionego w </w:t>
      </w:r>
      <w:r>
        <w:rPr>
          <w:rFonts w:ascii="Times New Roman"/>
          <w:b w:val="false"/>
          <w:i w:val="false"/>
          <w:color w:val="1b1b1b"/>
          <w:sz w:val="24"/>
          <w:lang w:val="pl-PL"/>
        </w:rPr>
        <w:t>ust. 5</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Sąd rejestrowy przekazuje do właściwych rejestrów za pośrednictwem systemu integracji rejestrów informację, czy osoba, której dotyczy zapytanie, jest objęta którymkolwiek z zakazów, o których mowa 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art. 18 § 2</w:t>
      </w:r>
      <w:r>
        <w:rPr>
          <w:rFonts w:ascii="Times New Roman"/>
          <w:b w:val="false"/>
          <w:i w:val="false"/>
          <w:color w:val="000000"/>
          <w:sz w:val="24"/>
          <w:lang w:val="pl-PL"/>
        </w:rPr>
        <w:t xml:space="preserve"> ustawy z dnia 15 września 2000 r. - Kodeks spółek handlowych,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1b1b1b"/>
          <w:sz w:val="24"/>
          <w:lang w:val="pl-PL"/>
        </w:rPr>
        <w:t>art. 39 pkt 2</w:t>
      </w:r>
      <w:r>
        <w:rPr>
          <w:rFonts w:ascii="Times New Roman"/>
          <w:b w:val="false"/>
          <w:i w:val="false"/>
          <w:color w:val="000000"/>
          <w:sz w:val="24"/>
          <w:lang w:val="pl-PL"/>
        </w:rPr>
        <w:t xml:space="preserve"> i </w:t>
      </w:r>
      <w:r>
        <w:rPr>
          <w:rFonts w:ascii="Times New Roman"/>
          <w:b w:val="false"/>
          <w:i w:val="false"/>
          <w:color w:val="1b1b1b"/>
          <w:sz w:val="24"/>
          <w:lang w:val="pl-PL"/>
        </w:rPr>
        <w:t>2aa</w:t>
      </w:r>
      <w:r>
        <w:rPr>
          <w:rFonts w:ascii="Times New Roman"/>
          <w:b w:val="false"/>
          <w:i w:val="false"/>
          <w:color w:val="000000"/>
          <w:sz w:val="24"/>
          <w:lang w:val="pl-PL"/>
        </w:rPr>
        <w:t xml:space="preserve"> ustawy z dnia 6 czerwca 1997 r. - Kodeks karny,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art. 373</w:t>
      </w:r>
      <w:r>
        <w:rPr>
          <w:rFonts w:ascii="Times New Roman"/>
          <w:b w:val="false"/>
          <w:i w:val="false"/>
          <w:color w:val="000000"/>
          <w:sz w:val="24"/>
          <w:lang w:val="pl-PL"/>
        </w:rPr>
        <w:t xml:space="preserve"> ustawy z dnia 28 lutego 2003 r. - Prawo upadłościowe,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przepisach regulujących zakazy pełnienia funkcji członka zarządu lub funkcji kierowniczych na podstawie decyzji Komisji Nadzoru Finansowego,</w:t>
      </w:r>
    </w:p>
    <w:p>
      <w:pPr>
        <w:spacing w:before="26" w:after="0"/>
        <w:ind w:left="373"/>
        <w:jc w:val="left"/>
        <w:textAlignment w:val="auto"/>
      </w:pPr>
      <w:r>
        <w:rPr>
          <w:rFonts w:ascii="Times New Roman"/>
          <w:b w:val="false"/>
          <w:i w:val="false"/>
          <w:color w:val="000000"/>
          <w:sz w:val="24"/>
          <w:lang w:val="pl-PL"/>
        </w:rPr>
        <w:t xml:space="preserve">5) </w:t>
      </w: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w:t>
      </w:r>
      <w:r>
        <w:rPr>
          <w:rFonts w:ascii="Times New Roman"/>
          <w:b w:val="false"/>
          <w:i w:val="false"/>
          <w:color w:val="1b1b1b"/>
          <w:sz w:val="24"/>
          <w:lang w:val="pl-PL"/>
        </w:rPr>
        <w:t>art. 53 ust. 9 pkt 6</w:t>
      </w:r>
      <w:r>
        <w:rPr>
          <w:rFonts w:ascii="Times New Roman"/>
          <w:b w:val="false"/>
          <w:i w:val="false"/>
          <w:color w:val="000000"/>
          <w:sz w:val="24"/>
          <w:lang w:val="pl-PL"/>
        </w:rPr>
        <w:t xml:space="preserve"> ustawy z dnia 5 lipca 2018 r. o krajowym systemie cyberbezpieczeństwa</w:t>
      </w:r>
    </w:p>
    <w:p>
      <w:pPr>
        <w:spacing w:before="25" w:after="0"/>
        <w:ind w:left="0"/>
        <w:jc w:val="left"/>
        <w:textAlignment w:val="auto"/>
      </w:pPr>
      <w:r>
        <w:rPr>
          <w:rFonts w:ascii="Times New Roman"/>
          <w:b w:val="false"/>
          <w:i w:val="false"/>
          <w:color w:val="000000"/>
          <w:sz w:val="24"/>
          <w:lang w:val="pl-PL"/>
        </w:rPr>
        <w:t xml:space="preserve">- po ustaleniu, o którym mowa w </w:t>
      </w:r>
      <w:r>
        <w:rPr>
          <w:rFonts w:ascii="Times New Roman"/>
          <w:b w:val="false"/>
          <w:i w:val="false"/>
          <w:color w:val="1b1b1b"/>
          <w:sz w:val="24"/>
          <w:lang w:val="pl-PL"/>
        </w:rPr>
        <w:t>ust. 4</w:t>
      </w:r>
      <w:r>
        <w:rPr>
          <w:rFonts w:ascii="Times New Roman"/>
          <w:b w:val="false"/>
          <w:i w:val="false"/>
          <w:color w:val="000000"/>
          <w:sz w:val="24"/>
          <w:lang w:val="pl-PL"/>
        </w:rPr>
        <w:t xml:space="preserve">, na zasadach i w zakresie określonych w </w:t>
      </w:r>
      <w:r>
        <w:rPr>
          <w:rFonts w:ascii="Times New Roman"/>
          <w:b w:val="false"/>
          <w:i w:val="false"/>
          <w:color w:val="1b1b1b"/>
          <w:sz w:val="24"/>
          <w:lang w:val="pl-PL"/>
        </w:rPr>
        <w:t>sekcji 16</w:t>
      </w:r>
      <w:r>
        <w:rPr>
          <w:rFonts w:ascii="Times New Roman"/>
          <w:b w:val="false"/>
          <w:i w:val="false"/>
          <w:color w:val="000000"/>
          <w:sz w:val="24"/>
          <w:lang w:val="pl-PL"/>
        </w:rPr>
        <w:t xml:space="preserve"> </w:t>
      </w:r>
      <w:r>
        <w:rPr>
          <w:rFonts w:ascii="Times New Roman"/>
          <w:b w:val="false"/>
          <w:i w:val="false"/>
          <w:color w:val="1b1b1b"/>
          <w:sz w:val="24"/>
          <w:lang w:val="pl-PL"/>
        </w:rPr>
        <w:t>załącznika</w:t>
      </w:r>
      <w:r>
        <w:rPr>
          <w:rFonts w:ascii="Times New Roman"/>
          <w:b w:val="false"/>
          <w:i w:val="false"/>
          <w:color w:val="000000"/>
          <w:sz w:val="24"/>
          <w:lang w:val="pl-PL"/>
        </w:rPr>
        <w:t xml:space="preserve"> do rozporządzenia wykonawczego Komisji (UE) 2021/1042 z dnia 18 czerwca 2021 r. ustanawiającego zasady stosowania </w:t>
      </w:r>
      <w:r>
        <w:rPr>
          <w:rFonts w:ascii="Times New Roman"/>
          <w:b w:val="false"/>
          <w:i w:val="false"/>
          <w:color w:val="1b1b1b"/>
          <w:sz w:val="24"/>
          <w:lang w:val="pl-PL"/>
        </w:rPr>
        <w:t>dyrektywy</w:t>
      </w:r>
      <w:r>
        <w:rPr>
          <w:rFonts w:ascii="Times New Roman"/>
          <w:b w:val="false"/>
          <w:i w:val="false"/>
          <w:color w:val="000000"/>
          <w:sz w:val="24"/>
          <w:lang w:val="pl-PL"/>
        </w:rPr>
        <w:t xml:space="preserve"> Parlamentu Europejskiego i Rady (UE) 2017/1132 w odniesieniu do specyfikacji technicznych i procedur dotyczących systemu integracji rejestrów oraz uchylającego </w:t>
      </w:r>
      <w:r>
        <w:rPr>
          <w:rFonts w:ascii="Times New Roman"/>
          <w:b w:val="false"/>
          <w:i w:val="false"/>
          <w:color w:val="1b1b1b"/>
          <w:sz w:val="24"/>
          <w:lang w:val="pl-PL"/>
        </w:rPr>
        <w:t>rozporządzenie</w:t>
      </w:r>
      <w:r>
        <w:rPr>
          <w:rFonts w:ascii="Times New Roman"/>
          <w:b w:val="false"/>
          <w:i w:val="false"/>
          <w:color w:val="000000"/>
          <w:sz w:val="24"/>
          <w:lang w:val="pl-PL"/>
        </w:rPr>
        <w:t xml:space="preserve"> wykonawcze Komisji (UE) 2020/2244, z wyłączeniem informacji, o których mowa w sekcji 16.3.4 załącznika do tego rozporządzenia.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dane osoby, której dotyczy zapytanie, nie figurują w żadnym z rejestrów ani w wykazie wymienionych w </w:t>
      </w:r>
      <w:r>
        <w:rPr>
          <w:rFonts w:ascii="Times New Roman"/>
          <w:b w:val="false"/>
          <w:i w:val="false"/>
          <w:color w:val="1b1b1b"/>
          <w:sz w:val="24"/>
          <w:lang w:val="pl-PL"/>
        </w:rPr>
        <w:t>ust. 2</w:t>
      </w:r>
      <w:r>
        <w:rPr>
          <w:rFonts w:ascii="Times New Roman"/>
          <w:b w:val="false"/>
          <w:i w:val="false"/>
          <w:color w:val="000000"/>
          <w:sz w:val="24"/>
          <w:lang w:val="pl-PL"/>
        </w:rPr>
        <w:t>, informacja o tym jest przekazywana automatycznie do właściwych rejestrów za pośrednictwem systemu integracji rejestrów.</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sądu rejestrowego, o których mowa w </w:t>
      </w:r>
      <w:r>
        <w:rPr>
          <w:rFonts w:ascii="Times New Roman"/>
          <w:b w:val="false"/>
          <w:i w:val="false"/>
          <w:color w:val="1b1b1b"/>
          <w:sz w:val="24"/>
          <w:lang w:val="pl-PL"/>
        </w:rPr>
        <w:t>ust. 4</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są utrwalane wyłącznie w systemie teleinformatycznym. Dokument, który wpłynął do sądu rejestrowego w postaci papierowej, przetwarza się na postać elektroniczną oraz składa się w prowadzonym oddzielnie zbiorze dokumentów. Dokument przetworzony na postać elektroniczną zamieszcza się w systemie teleinformatycznym. Dokument przetworzony na postać elektroniczną dołącza się do akt sprawy prowadzonych w systemie teleinformatycznym.</w:t>
      </w:r>
    </w:p>
    <w:p>
      <w:pPr>
        <w:spacing w:before="80"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[Zwolnienie z opłat]</w:t>
      </w:r>
    </w:p>
    <w:p>
      <w:pPr>
        <w:spacing w:after="0"/>
        <w:ind w:left="0"/>
        <w:jc w:val="left"/>
        <w:textAlignment w:val="auto"/>
      </w:pPr>
      <w:r>
        <w:rPr>
          <w:rFonts w:ascii="Times New Roman"/>
          <w:b w:val="false"/>
          <w:i w:val="false"/>
          <w:color w:val="000000"/>
          <w:sz w:val="24"/>
          <w:lang w:val="pl-PL"/>
        </w:rPr>
        <w:t xml:space="preserve">Skarb Państwa oraz instytucje państwowe, których zadanie nie polega na prowadzeniu działalności gospodarczej, nie ponoszą opłat, o których mowa w </w:t>
      </w:r>
      <w:r>
        <w:rPr>
          <w:rFonts w:ascii="Times New Roman"/>
          <w:b w:val="false"/>
          <w:i w:val="false"/>
          <w:color w:val="1b1b1b"/>
          <w:sz w:val="24"/>
          <w:lang w:val="pl-PL"/>
        </w:rPr>
        <w:t>art. 4 ust. 4</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[Delegacje ustawowe]</w:t>
      </w:r>
    </w:p>
    <w:p>
      <w:pPr>
        <w:spacing w:after="0"/>
        <w:ind w:left="0"/>
        <w:jc w:val="left"/>
        <w:textAlignment w:val="auto"/>
      </w:pPr>
      <w:r>
        <w:rPr>
          <w:rFonts w:ascii="Times New Roman"/>
          <w:b w:val="false"/>
          <w:i w:val="false"/>
          <w:color w:val="000000"/>
          <w:sz w:val="24"/>
          <w:lang w:val="pl-PL"/>
        </w:rPr>
        <w:t>Minister Sprawiedliwości określa: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drodze rozporządzenia, ustrój i organizację Centralnej Informacji oraz tryb i sposób udzielania informacji z Rejestru, wydawania dokumentów oraz kopii dokumentów z katalogu, udostępniania dokumentów z repozytorium dokumentów finansowych, a także strukturę udostępnianych informacji wymienionych w </w:t>
      </w:r>
      <w:r>
        <w:rPr>
          <w:rFonts w:ascii="Times New Roman"/>
          <w:b w:val="false"/>
          <w:i w:val="false"/>
          <w:color w:val="1b1b1b"/>
          <w:sz w:val="24"/>
          <w:lang w:val="pl-PL"/>
        </w:rPr>
        <w:t>art. 4 ust. 4a</w:t>
      </w:r>
      <w:r>
        <w:rPr>
          <w:rFonts w:ascii="Times New Roman"/>
          <w:b w:val="false"/>
          <w:i w:val="false"/>
          <w:color w:val="000000"/>
          <w:sz w:val="24"/>
          <w:lang w:val="pl-PL"/>
        </w:rPr>
        <w:t>, uwzględniając zadania Rejestru i Centralnej Informacji w zakresie zapewnienia powszechnego i bezpośredniego dostępu do informacji o podmiotach wpisanych do Rejestru;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porozumieniu z ministrem właściwym do spraw finansów publicznych, w drodze rozporządzenia, wysokość opłat za udzielanie informacji, wydawanie odpisów, wyciągów i zaświadczeń z Rejestru oraz za udostępnianie z katalogu dokumentów złożonych w postaci elektronicznej i kopii dokumentów złożonych w postaci papierowej, uwzględniając potrzebę sprawnego działania Centralnej Informacji oraz pokrycia kosztów administracyjnych utworzenia i funkcjonowania Rejestru oraz katalogu, przy jednoczesnym zapewnieniu powszechnego dostępu do informacji i dokumentów rejestrowych;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drodze rozporządzenia, warunki organizacyjno-techniczne dotyczące formy wniosków oraz ich składania do Centralnej Informacji za pośrednictwem systemu teleinformatycznego, a także odpisów, wyciągów, zaświadczeń, informacji, dokumentów oraz kopii dokumentów doręczanych wnioskodawcom za pośrednictwem systemu teleinformatycznego oraz sposób posługiwania się dokumentami oraz kopiami dokumentów wydanymi w postaci elektronicznej, uwzględniając potrzebę zapewnienia powszechnego i bezpośredniego dostępu do informacji z Rejestru i dokumentów rejestrowych oraz możliwość posługiwania się dokumentami wydanymi w postaci elektronicznej;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drodze zarządzenia, sposób i tryb przekazywania przez sądy rejestrowe danych rejestrowych do Centralnej Informacji, uwzględniając możliwości techniczne i organizacyjne sądów rejestrowych oraz konieczność zapewnienia sprawnego i kompleksowego przekazywania danych rejestrowych do Centralnej Informacji, przy jednoczesnym zapewnieniu odpowiedniego poziomu bezpieczeństwa;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drodze zarządzenia, warunki organizacyjno-techniczne przekazywania za pośrednictwem systemu teleinformatycznego dokumentów złożonych w postaci elektronicznej i kopii dokumentów złożonych w postaci papierowej do katalogu oraz sposób ich przechowywania, uwzględniając potrzebę zapewnienia integralności i kompletności dokumentów złożonych do akt rejestrowych.</w:t>
      </w:r>
    </w:p>
    <w:p>
      <w:pPr>
        <w:spacing w:before="80"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lang w:val="pl-PL"/>
        </w:rPr>
        <w:t xml:space="preserve"> [Stosowanie przepisów k.p.c. do postępowania przed sądami rejestrowymi]</w:t>
      </w:r>
    </w:p>
    <w:p>
      <w:pPr>
        <w:spacing w:after="0"/>
        <w:ind w:left="0"/>
        <w:jc w:val="left"/>
        <w:textAlignment w:val="auto"/>
      </w:pPr>
      <w:r>
        <w:rPr>
          <w:rFonts w:ascii="Times New Roman"/>
          <w:b w:val="false"/>
          <w:i w:val="false"/>
          <w:color w:val="000000"/>
          <w:sz w:val="24"/>
          <w:lang w:val="pl-PL"/>
        </w:rPr>
        <w:t xml:space="preserve">Do postępowania przed sądami rejestrowymi stosuje się przepisy </w:t>
      </w:r>
      <w:r>
        <w:rPr>
          <w:rFonts w:ascii="Times New Roman"/>
          <w:b w:val="false"/>
          <w:i w:val="false"/>
          <w:color w:val="1b1b1b"/>
          <w:sz w:val="24"/>
          <w:lang w:val="pl-PL"/>
        </w:rPr>
        <w:t>Kodeksu postępowania cywilnego</w:t>
      </w:r>
      <w:r>
        <w:rPr>
          <w:rFonts w:ascii="Times New Roman"/>
          <w:b w:val="false"/>
          <w:i w:val="false"/>
          <w:color w:val="000000"/>
          <w:sz w:val="24"/>
          <w:lang w:val="pl-PL"/>
        </w:rPr>
        <w:t xml:space="preserve"> o postępowaniu nieprocesowym, chyba że ustawa stanowi inaczej.</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[Jawność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 jest jawny.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Każdy ma prawo dostępu do danych zawartych w Rejestrze za pośrednictwem Centralnej Informacji.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Każdy ma prawo otrzymać, również drogą elektroniczną, poświadczone odpisy, wyciągi, zaświadczenia i informacje z Rejestru.</w:t>
      </w:r>
    </w:p>
    <w:p>
      <w:pPr>
        <w:spacing w:before="80" w:after="0"/>
        <w:ind w:left="0"/>
        <w:jc w:val="left"/>
        <w:textAlignment w:val="auto"/>
      </w:pPr>
      <w:r>
        <w:rPr>
          <w:rFonts w:ascii="Times New Roman"/>
          <w:b/>
          <w:i w:val="false"/>
          <w:color w:val="000000"/>
          <w:sz w:val="24"/>
          <w:lang w:val="pl-PL"/>
        </w:rPr>
        <w:t xml:space="preserve"> Art. 8a.</w:t>
      </w:r>
      <w:r>
        <w:rPr>
          <w:rFonts w:ascii="Times New Roman"/>
          <w:b/>
          <w:i w:val="false"/>
          <w:color w:val="000000"/>
          <w:sz w:val="24"/>
          <w:lang w:val="pl-PL"/>
        </w:rPr>
        <w:t xml:space="preserve"> [Jawność elektronicznego katalogu dokumentów]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Katalog obejmuje następujące dokumenty spółek z ograniczoną odpowiedzialnością, spółek akcyjnych, spółek komandytowo-akcyjnych i spółek europejskich: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akty założycielskie, umowy oraz statuty, jeżeli są oddzielnymi aktami, a także uchwały o ich zmianie;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teksty jednolite dokumentów wymienionych w </w:t>
      </w:r>
      <w:r>
        <w:rPr>
          <w:rFonts w:ascii="Times New Roman"/>
          <w:b w:val="false"/>
          <w:i w:val="false"/>
          <w:color w:val="1b1b1b"/>
          <w:sz w:val="24"/>
          <w:lang w:val="pl-PL"/>
        </w:rPr>
        <w:t>pkt 1</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uchwały o zmianie wysokości kapitału zakładowego, jeżeli nie wymagały jednoczesnej zmiany umowy lub statutu;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 powołaniu lub odwołaniu członków organów spółek oraz oświadczenia o ich rezygnacji;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roczne sprawozdania finansowe oraz roczne skonsolidowane sprawozdania finansowe grup kapitałowych w rozumieniu przepisów o rachunkowości, odpisy uchwał o zatwierdzeniu tych sprawozdań i podziale zysku lub pokryciu straty, a także sprawozdania z badania, sprawozdania z działalności jednostek, sprawozdania z działalności grup kapitałowych, sprawozdania z atestacji sprawozdawczości zrównoważonego rozwoju, sprawozdania z płatności na rzecz administracji publicznej, skonsolidowane sprawozdania z płatności na rzecz administracji publicznej, sprawozdania o podatku dochodowym oraz sprawozdawczość zrównoważonego rozwoju grupy kapitałowej jednostki dominującej z państwa spoza Europejskiego Obszaru Gospodarczego, jednostki dominującej wyższego szczebla z państwa spoza Europejskiego Obszaru Gospodarczego lub jednostki dominującej najwyższego szczebla z państwa spoza Europejskiego Obszaru Gospodarczego lub sprawozdawczość zrównoważonego rozwoju jednostki samodzielnej z państwa spoza Europejskiego Obszaru Gospodarczego, jeżeli obowiązek ich sporządzenia wynika z przepisów szczególnych.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Każdy ma prawo otrzymać z katalogu, drogą elektroniczną, poświadczone kopie dokumentów wymienionych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Udostępnienie w sposób określony w </w:t>
      </w:r>
      <w:r>
        <w:rPr>
          <w:rFonts w:ascii="Times New Roman"/>
          <w:b w:val="false"/>
          <w:i w:val="false"/>
          <w:color w:val="1b1b1b"/>
          <w:sz w:val="24"/>
          <w:lang w:val="pl-PL"/>
        </w:rPr>
        <w:t>ust. 2</w:t>
      </w:r>
      <w:r>
        <w:rPr>
          <w:rFonts w:ascii="Times New Roman"/>
          <w:b w:val="false"/>
          <w:i w:val="false"/>
          <w:color w:val="000000"/>
          <w:sz w:val="24"/>
          <w:lang w:val="pl-PL"/>
        </w:rPr>
        <w:t xml:space="preserve"> dokumentów złożonych do akt rejestrowych przed dniem 1 stycznia 2007 r. nie jest możliwe, jeżeli upłynął 10-letni okres między datą ich złożenia do akt a datą złożenia wniosku o udostępnienie.</w:t>
      </w:r>
    </w:p>
    <w:p>
      <w:pPr>
        <w:spacing w:before="80" w:after="0"/>
        <w:ind w:left="0"/>
        <w:jc w:val="left"/>
        <w:textAlignment w:val="auto"/>
      </w:pPr>
      <w:r>
        <w:rPr>
          <w:rFonts w:ascii="Times New Roman"/>
          <w:b/>
          <w:i w:val="false"/>
          <w:color w:val="000000"/>
          <w:sz w:val="24"/>
          <w:lang w:val="pl-PL"/>
        </w:rPr>
        <w:t xml:space="preserve"> Art. 9.</w:t>
      </w:r>
      <w:r>
        <w:rPr>
          <w:rFonts w:ascii="Times New Roman"/>
          <w:b/>
          <w:i w:val="false"/>
          <w:color w:val="000000"/>
          <w:sz w:val="24"/>
          <w:lang w:val="pl-PL"/>
        </w:rPr>
        <w:t xml:space="preserve"> [Odrębne akta rejestrowe podmiotu wpisanego do Rejestru; zbiór dokumentów w postaci papierowej]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Dla podmiotu wpisanego do Rejestru prowadzi się odrębne akta rejestrowe obejmujące w szczególności dokumenty stanowiące podstawę wpisu. Akta rejestrowe dla podmiotów wpisanych do rejestru przedsiębiorców prowadzi się wyłącznie w systemie teleinformatycznym. Akta rejestrowe prowadzone w postaci papierowej nie podlegają przetworzeniu na akta prowadzone w systemie teleinformatycznym. Akta rejestrowe prowadzone w systemie teleinformatycznym nie podlegają przetworzeniu na postać papierową.</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zdanie drugie stosuje się również do akt spraw o wpis do rejestru przedsiębiorców, jeżeli wniosek został prawomocnie zwrócony, odrzucony albo oddalony lub postępowanie umorzono, oraz do innych spraw należących do właściwości sądu rejestrowego.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przepis szczególny nakazuje zgłoszenie określonych danych sądowi rejestrowemu lub wpisanie ich do Rejestru, a dane te nie podlegają według przepisów ustawy wpisowi do określonego działu Rejestru, dokumenty zawierające te dane oraz dokumenty wymienione w </w:t>
      </w:r>
      <w:r>
        <w:rPr>
          <w:rFonts w:ascii="Times New Roman"/>
          <w:b w:val="false"/>
          <w:i w:val="false"/>
          <w:color w:val="1b1b1b"/>
          <w:sz w:val="24"/>
          <w:lang w:val="pl-PL"/>
        </w:rPr>
        <w:t>art. 47a ust. 2</w:t>
      </w:r>
      <w:r>
        <w:rPr>
          <w:rFonts w:ascii="Times New Roman"/>
          <w:b w:val="false"/>
          <w:i w:val="false"/>
          <w:color w:val="000000"/>
          <w:sz w:val="24"/>
          <w:lang w:val="pl-PL"/>
        </w:rPr>
        <w:t xml:space="preserve"> składa się do akt rejestrowych.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podmiot wpisywany do Rejestru działa na podstawie umowy lub statutu, do wniosku o jego wpisanie dołącza się umowę lub statut.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wniosku o wpis podmiotu do Rejestru, wniosku dotyczącego zmiany umowy lub statutu podmiotu wpisanego do Rejestru, działającego na podstawie umowy lub statutu, dołącza się także tekst jednolity umowy lub statutu, z uwzględnieniem wprowadzonych zmian. Do tekstu jednolitego nie stosuje się </w:t>
      </w:r>
      <w:r>
        <w:rPr>
          <w:rFonts w:ascii="Times New Roman"/>
          <w:b w:val="false"/>
          <w:i w:val="false"/>
          <w:color w:val="1b1b1b"/>
          <w:sz w:val="24"/>
          <w:lang w:val="pl-PL"/>
        </w:rPr>
        <w:t>przepisów</w:t>
      </w:r>
      <w:r>
        <w:rPr>
          <w:rFonts w:ascii="Times New Roman"/>
          <w:b w:val="false"/>
          <w:i w:val="false"/>
          <w:color w:val="000000"/>
          <w:sz w:val="24"/>
          <w:lang w:val="pl-PL"/>
        </w:rPr>
        <w:t xml:space="preserve"> o formie czynności prawnych.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wnioski i dokumenty dotyczące podmiotu wpisanego wyłącznie do rejestru, o którym mowa w </w:t>
      </w:r>
      <w:r>
        <w:rPr>
          <w:rFonts w:ascii="Times New Roman"/>
          <w:b w:val="false"/>
          <w:i w:val="false"/>
          <w:color w:val="1b1b1b"/>
          <w:sz w:val="24"/>
          <w:lang w:val="pl-PL"/>
        </w:rPr>
        <w:t>art. 1 ust. 2 pkt 2</w:t>
      </w:r>
      <w:r>
        <w:rPr>
          <w:rFonts w:ascii="Times New Roman"/>
          <w:b w:val="false"/>
          <w:i w:val="false"/>
          <w:color w:val="000000"/>
          <w:sz w:val="24"/>
          <w:lang w:val="pl-PL"/>
        </w:rPr>
        <w:t xml:space="preserve">, zostały złożone za pośrednictwem systemu teleinformatycznego, w aktach rejestrowych przechowuje się wydruk tych wniosków i dokumentów wraz ze wskazaniem osób, które je podpisały. Nie dotyczy to dokumentów, o których mowa w </w:t>
      </w:r>
      <w:r>
        <w:rPr>
          <w:rFonts w:ascii="Times New Roman"/>
          <w:b w:val="false"/>
          <w:i w:val="false"/>
          <w:color w:val="1b1b1b"/>
          <w:sz w:val="24"/>
          <w:lang w:val="pl-PL"/>
        </w:rPr>
        <w:t>art. 9a ust. 2</w:t>
      </w:r>
      <w:r>
        <w:rPr>
          <w:rFonts w:ascii="Times New Roman"/>
          <w:b w:val="false"/>
          <w:i w:val="false"/>
          <w:color w:val="000000"/>
          <w:sz w:val="24"/>
          <w:lang w:val="pl-PL"/>
        </w:rPr>
        <w:t>, składanych przez samodzielny publiczny zakład opieki zdrowotnej.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Dla podmiotu wpisanego do rejestru przedsiębiorców prowadzi się zbiór dokumentów obejmujący dokumenty wytworzone w postaci papierowej. Do zbioru dokumentów dołącza się akta rejestrowe podmiotu prowadzone w postaci papierowej.</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 w postaci papierowej, dotyczący podmiotu wpisanego do rejestru przedsiębiorców, stanowiący podstawę do podjęcia przez sąd czynności z urzędu, przetwarza się na postać elektroniczną oraz składa do zbioru dokumentów, o którym mowa w </w:t>
      </w:r>
      <w:r>
        <w:rPr>
          <w:rFonts w:ascii="Times New Roman"/>
          <w:b w:val="false"/>
          <w:i w:val="false"/>
          <w:color w:val="1b1b1b"/>
          <w:sz w:val="24"/>
          <w:lang w:val="pl-PL"/>
        </w:rPr>
        <w:t>ust. 6</w:t>
      </w:r>
      <w:r>
        <w:rPr>
          <w:rFonts w:ascii="Times New Roman"/>
          <w:b w:val="false"/>
          <w:i w:val="false"/>
          <w:color w:val="000000"/>
          <w:sz w:val="24"/>
          <w:lang w:val="pl-PL"/>
        </w:rPr>
        <w:t>. Dokument przetworzony na postać elektroniczną dołącza się do akt rejestrowych prowadzonych w systemie teleinformatycznym.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7</w:t>
      </w:r>
      <w:r>
        <w:rPr>
          <w:rFonts w:ascii="Times New Roman"/>
          <w:b w:val="false"/>
          <w:i w:val="false"/>
          <w:color w:val="000000"/>
          <w:sz w:val="24"/>
          <w:lang w:val="pl-PL"/>
        </w:rPr>
        <w:t xml:space="preserve"> stosuje się odpowiednio do akt sprawy rozpoznanej przez sąd drugiej instancji oraz Sąd Najwyższy.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Dokumenty zawierające informacje przekazane z właściwych rejestrów za pośrednictwem systemu integracji rejestrów podlegają automatycznemu złożeniu do akt rejestrowych.</w:t>
      </w:r>
    </w:p>
    <w:p>
      <w:pPr>
        <w:spacing w:before="80" w:after="0"/>
        <w:ind w:left="0"/>
        <w:jc w:val="left"/>
        <w:textAlignment w:val="auto"/>
      </w:pPr>
      <w:r>
        <w:rPr>
          <w:rFonts w:ascii="Times New Roman"/>
          <w:b/>
          <w:i w:val="false"/>
          <w:color w:val="000000"/>
          <w:sz w:val="24"/>
          <w:lang w:val="pl-PL"/>
        </w:rPr>
        <w:t xml:space="preserve"> Art. 9a.</w:t>
      </w:r>
      <w:r>
        <w:rPr>
          <w:rFonts w:ascii="Times New Roman"/>
          <w:b/>
          <w:i w:val="false"/>
          <w:color w:val="000000"/>
          <w:sz w:val="24"/>
          <w:lang w:val="pl-PL"/>
        </w:rPr>
        <w:t xml:space="preserve"> [Repozytorium dokumentów finansowych]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Dla każdego podmiotu obowiązanego do składania dokumentów finansowych do Rejestru prowadzi się w systemie teleinformatycznym repozytorium dokumentów finansowych.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repozytorium dokumentów finansowych są składane dokumenty, o których mowa w </w:t>
      </w:r>
      <w:r>
        <w:rPr>
          <w:rFonts w:ascii="Times New Roman"/>
          <w:b w:val="false"/>
          <w:i w:val="false"/>
          <w:color w:val="1b1b1b"/>
          <w:sz w:val="24"/>
          <w:lang w:val="pl-PL"/>
        </w:rPr>
        <w:t>art. 63v pkt 3</w:t>
      </w:r>
      <w:r>
        <w:rPr>
          <w:rFonts w:ascii="Times New Roman"/>
          <w:b w:val="false"/>
          <w:i w:val="false"/>
          <w:color w:val="000000"/>
          <w:sz w:val="24"/>
          <w:lang w:val="pl-PL"/>
        </w:rPr>
        <w:t xml:space="preserve">, </w:t>
      </w:r>
      <w:r>
        <w:rPr>
          <w:rFonts w:ascii="Times New Roman"/>
          <w:b w:val="false"/>
          <w:i w:val="false"/>
          <w:color w:val="1b1b1b"/>
          <w:sz w:val="24"/>
          <w:lang w:val="pl-PL"/>
        </w:rPr>
        <w:t>art. 63za pkt 3</w:t>
      </w:r>
      <w:r>
        <w:rPr>
          <w:rFonts w:ascii="Times New Roman"/>
          <w:b w:val="false"/>
          <w:i w:val="false"/>
          <w:color w:val="000000"/>
          <w:sz w:val="24"/>
          <w:lang w:val="pl-PL"/>
        </w:rPr>
        <w:t xml:space="preserve">, </w:t>
      </w:r>
      <w:r>
        <w:rPr>
          <w:rFonts w:ascii="Times New Roman"/>
          <w:b w:val="false"/>
          <w:i w:val="false"/>
          <w:color w:val="1b1b1b"/>
          <w:sz w:val="24"/>
          <w:lang w:val="pl-PL"/>
        </w:rPr>
        <w:t>art. 63zd ust. 8</w:t>
      </w:r>
      <w:r>
        <w:rPr>
          <w:rFonts w:ascii="Times New Roman"/>
          <w:b w:val="false"/>
          <w:i w:val="false"/>
          <w:color w:val="000000"/>
          <w:sz w:val="24"/>
          <w:lang w:val="pl-PL"/>
        </w:rPr>
        <w:t xml:space="preserve"> oraz </w:t>
      </w:r>
      <w:r>
        <w:rPr>
          <w:rFonts w:ascii="Times New Roman"/>
          <w:b w:val="false"/>
          <w:i w:val="false"/>
          <w:color w:val="1b1b1b"/>
          <w:sz w:val="24"/>
          <w:lang w:val="pl-PL"/>
        </w:rPr>
        <w:t>art. 69</w:t>
      </w:r>
      <w:r>
        <w:rPr>
          <w:rFonts w:ascii="Times New Roman"/>
          <w:b w:val="false"/>
          <w:i w:val="false"/>
          <w:color w:val="000000"/>
          <w:sz w:val="24"/>
          <w:lang w:val="pl-PL"/>
        </w:rPr>
        <w:t xml:space="preserve"> ustawy z dnia 29 września 1994 r. o rachunkowości (Dz. U. z 2023 r. poz. 120, 295 i 1598 oraz z 2024 r. poz. 619, 1685 i 1863).</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Każdy ma prawo przeglądania repozytorium dokumentów finansowych.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Centralna Informacja bezpłatnie udostępnia dokumenty z repozytorium dokumentów finansowych za pośrednictwem ogólnodostępnych sieci teleinformatycznych.</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[Jawność akt rejestrowych podmiotów wpisanych do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Każdy ma prawo przeglądania akt rejestrowych podmiotów wpisanych do Rejestru oraz zbioru dokumentów, o którym mowa w </w:t>
      </w:r>
      <w:r>
        <w:rPr>
          <w:rFonts w:ascii="Times New Roman"/>
          <w:b w:val="false"/>
          <w:i w:val="false"/>
          <w:color w:val="1b1b1b"/>
          <w:sz w:val="24"/>
          <w:lang w:val="pl-PL"/>
        </w:rPr>
        <w:t>art. 9 ust. 6</w:t>
      </w:r>
      <w:r>
        <w:rPr>
          <w:rFonts w:ascii="Times New Roman"/>
          <w:b w:val="false"/>
          <w:i w:val="false"/>
          <w:color w:val="000000"/>
          <w:sz w:val="24"/>
          <w:lang w:val="pl-PL"/>
        </w:rPr>
        <w:t>, chyba że ustawa stanowi inaczej.</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Akta rejestrowe prowadzone w systemie teleinformatycznym udostępnia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pośrednictwem ogólnodostępnych sieci teleinformatycznych;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siedzibie sądu rejestrowego, z wykorzystaniem systemu teleinformatycznego.</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1a</w:t>
      </w:r>
      <w:r>
        <w:rPr>
          <w:rFonts w:ascii="Times New Roman"/>
          <w:b w:val="false"/>
          <w:i w:val="false"/>
          <w:color w:val="000000"/>
          <w:sz w:val="24"/>
          <w:lang w:val="pl-PL"/>
        </w:rPr>
        <w:t xml:space="preserve"> stosuje się do akt sprawy rozpoznawanej przez sąd rejestrowy i odpowiednio do akt sprawy rozpoznanej przez sąd drugiej instancji oraz Sąd Najwyższy.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Akta dotyczące wpisu do rejestru dłużników niewypłacalnych podmiotu, który uległ wykreśleniu na podstawie </w:t>
      </w:r>
      <w:r>
        <w:rPr>
          <w:rFonts w:ascii="Times New Roman"/>
          <w:b w:val="false"/>
          <w:i w:val="false"/>
          <w:color w:val="1b1b1b"/>
          <w:sz w:val="24"/>
          <w:lang w:val="pl-PL"/>
        </w:rPr>
        <w:t>art. 59</w:t>
      </w:r>
      <w:r>
        <w:rPr>
          <w:rFonts w:ascii="Times New Roman"/>
          <w:b w:val="false"/>
          <w:i w:val="false"/>
          <w:color w:val="000000"/>
          <w:sz w:val="24"/>
          <w:lang w:val="pl-PL"/>
        </w:rPr>
        <w:t xml:space="preserve"> i </w:t>
      </w:r>
      <w:r>
        <w:rPr>
          <w:rFonts w:ascii="Times New Roman"/>
          <w:b w:val="false"/>
          <w:i w:val="false"/>
          <w:color w:val="1b1b1b"/>
          <w:sz w:val="24"/>
          <w:lang w:val="pl-PL"/>
        </w:rPr>
        <w:t>60</w:t>
      </w:r>
      <w:r>
        <w:rPr>
          <w:rFonts w:ascii="Times New Roman"/>
          <w:b w:val="false"/>
          <w:i w:val="false"/>
          <w:color w:val="000000"/>
          <w:sz w:val="24"/>
          <w:lang w:val="pl-PL"/>
        </w:rPr>
        <w:t xml:space="preserve"> i nie podlega ujawnieniu, są dostępne wyłącznie dla podmiotu, którego dotyczył wpis, oraz wierzyciela, na którego wniosek orzeczono o wpisaniu podmiotu.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Dokumenty będące podstawą wpisów w dziale 4 rejestru przedsiębiorców, które zostały wykreślone na podstawie </w:t>
      </w:r>
      <w:r>
        <w:rPr>
          <w:rFonts w:ascii="Times New Roman"/>
          <w:b w:val="false"/>
          <w:i w:val="false"/>
          <w:color w:val="1b1b1b"/>
          <w:sz w:val="24"/>
          <w:lang w:val="pl-PL"/>
        </w:rPr>
        <w:t>art. 46</w:t>
      </w:r>
      <w:r>
        <w:rPr>
          <w:rFonts w:ascii="Times New Roman"/>
          <w:b w:val="false"/>
          <w:i w:val="false"/>
          <w:color w:val="000000"/>
          <w:sz w:val="24"/>
          <w:lang w:val="pl-PL"/>
        </w:rPr>
        <w:t>, wyłącza się z akt rejestrowych przedsiębiorcy i składa w prowadzonym oddzielnie zbiorze dokumentów, który jest dostępny jedynie dla przedsiębiorcy wpisanego w tym rejestrze oraz wierzyciela, na którego wniosek nastąpiło wykreślenie wpisu.</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elektronicznych wypisów lub wyciągów z aktów notarialnych dołączonych do wniosku za pośrednictwem systemu teleinformatycznego z Centralnego Repozytorium Elektronicznych Wypisów Aktów Notarialnych, zwanego dalej "Repozytorium", na skutek nieprawidłowego oznaczenia przez wnioskodawcę albo na skutek nieprawidłowego działania systemu;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informacji otrzymanych z Biura Informacyjnego Krajowego Rejestru Karnego w trybie określonym w </w:t>
      </w:r>
      <w:r>
        <w:rPr>
          <w:rFonts w:ascii="Times New Roman"/>
          <w:b w:val="false"/>
          <w:i w:val="false"/>
          <w:color w:val="1b1b1b"/>
          <w:sz w:val="24"/>
          <w:lang w:val="pl-PL"/>
        </w:rPr>
        <w:t>art. 21a</w:t>
      </w:r>
      <w:r>
        <w:rPr>
          <w:rFonts w:ascii="Times New Roman"/>
          <w:b w:val="false"/>
          <w:i w:val="false"/>
          <w:color w:val="000000"/>
          <w:sz w:val="24"/>
          <w:lang w:val="pl-PL"/>
        </w:rPr>
        <w:t>, jeżeli nie stanowią one podstawy rozstrzygnięcia sądu rejestrowego lub dotyczą osób, które nie podlegają wpisowi do Rejestru;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informacji stanowiących tajemnicę przedsiębiorstwa lub innych prawnie chronionych informacji zawartych w opinii biegłego, o której mowa w </w:t>
      </w:r>
      <w:r>
        <w:rPr>
          <w:rFonts w:ascii="Times New Roman"/>
          <w:b w:val="false"/>
          <w:i w:val="false"/>
          <w:color w:val="1b1b1b"/>
          <w:sz w:val="24"/>
          <w:lang w:val="pl-PL"/>
        </w:rPr>
        <w:t>art. 503 § 1</w:t>
      </w:r>
      <w:r>
        <w:rPr>
          <w:rFonts w:ascii="Times New Roman"/>
          <w:b w:val="false"/>
          <w:i w:val="false"/>
          <w:color w:val="000000"/>
          <w:sz w:val="24"/>
          <w:lang w:val="pl-PL"/>
        </w:rPr>
        <w:t xml:space="preserve">, </w:t>
      </w:r>
      <w:r>
        <w:rPr>
          <w:rFonts w:ascii="Times New Roman"/>
          <w:b w:val="false"/>
          <w:i w:val="false"/>
          <w:color w:val="1b1b1b"/>
          <w:sz w:val="24"/>
          <w:lang w:val="pl-PL"/>
        </w:rPr>
        <w:t>art. 538 § 1</w:t>
      </w:r>
      <w:r>
        <w:rPr>
          <w:rFonts w:ascii="Times New Roman"/>
          <w:b w:val="false"/>
          <w:i w:val="false"/>
          <w:color w:val="000000"/>
          <w:sz w:val="24"/>
          <w:lang w:val="pl-PL"/>
        </w:rPr>
        <w:t xml:space="preserve"> oraz </w:t>
      </w:r>
      <w:r>
        <w:rPr>
          <w:rFonts w:ascii="Times New Roman"/>
          <w:b w:val="false"/>
          <w:i w:val="false"/>
          <w:color w:val="1b1b1b"/>
          <w:sz w:val="24"/>
          <w:lang w:val="pl-PL"/>
        </w:rPr>
        <w:t>art. 559 § 4</w:t>
      </w:r>
      <w:r>
        <w:rPr>
          <w:rFonts w:ascii="Times New Roman"/>
          <w:b w:val="false"/>
          <w:i w:val="false"/>
          <w:color w:val="000000"/>
          <w:sz w:val="24"/>
          <w:lang w:val="pl-PL"/>
        </w:rPr>
        <w:t xml:space="preserve"> ustawy z dnia 15 września 2000 r. - Kodeks spółek handlowych.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ust. 3 i 4 nie naruszają uprawnień do dostępu do akt sądowych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szczególnych.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Sądy rejestrowe wydają w postaci elektronicznej dokumenty złożone do akt rejestrowych w postaci elektronicznej oraz w postaci papierowej ich kopie i odpisy. Sąd rejestrowy, w którym są przechowywane akta rejestrowe podmiotu, wydaje w postaci papierowej i elektronicznej kopie i odpisy dokumentów złożonych do akt w postaci papierowej.</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10a.</w:t>
      </w:r>
      <w:r>
        <w:rPr>
          <w:rFonts w:ascii="Times New Roman"/>
          <w:b/>
          <w:i w:val="false"/>
          <w:color w:val="000000"/>
          <w:sz w:val="24"/>
          <w:lang w:val="pl-PL"/>
        </w:rPr>
        <w:t xml:space="preserve"> [Przeciwdziałanie kradzieży spółek - newsletter </w:t>
      </w:r>
      <w:r>
        <w:rPr>
          <w:rFonts w:ascii="Times New Roman"/>
          <w:b/>
          <w:i/>
          <w:color w:val="000000"/>
          <w:sz w:val="24"/>
          <w:lang w:val="pl-PL"/>
        </w:rPr>
        <w:t>KRS</w:t>
      </w:r>
    </w:p>
    <w:p>
      <w:pPr>
        <w:spacing w:after="0"/>
        <w:ind w:left="0"/>
        <w:jc w:val="left"/>
        <w:textAlignment w:val="auto"/>
      </w:pPr>
      <w:r>
        <w:rPr>
          <w:rFonts w:ascii="Times New Roman"/>
          <w:b/>
          <w:i w:val="false"/>
          <w:color w:val="000000"/>
          <w:sz w:val="24"/>
          <w:lang w:val="pl-PL"/>
        </w:rPr>
        <w: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Informacja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zarejestrowaniu w systemie teleinformatycznym sprawy obejmująca numer w Rejestrze, sygnaturę sprawy i datę rejestracji sprawy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dokonaniu wpisu w pozycji Rejestru obejmująca numer w Rejestrze, sygnaturę sprawy, datę dokonania wpisu i numer wpisu</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 xml:space="preserve">- dotycząca podmiotu wpisanego do rejestru, o którym mowa w </w:t>
      </w:r>
      <w:r>
        <w:rPr>
          <w:rFonts w:ascii="Times New Roman"/>
          <w:b w:val="false"/>
          <w:i w:val="false"/>
          <w:color w:val="1b1b1b"/>
          <w:sz w:val="24"/>
          <w:lang w:val="pl-PL"/>
        </w:rPr>
        <w:t>art. 1 ust. 2 pkt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 jest automatycznie przesyłana za pośrednictwem systemu teleinformatycznego każdemu, kto za pośrednictwem tego systemu wskazał numer w Rejestrze podmiotu, którego informacja ta ma dotyczyć.</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których mowa w ust. 1, mogą być automatycznie przesyłane za pośrednictwem aplikacji mObywatel, o której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26 maja 2023 r. o aplikacji mObywatel (Dz. U. z 2024 r. poz. 1275 i 1717 oraz z 2025 r. poz. 1019), użytkownikowi tej aplikacji, który za jej pośrednictwem wskazał numer w Rejestrze podmiotu, którego informacja ta ma dotyczyć, a z którym użytkownik ten jest powiązany przez numer PESEL.</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Informacje, o których mowa w ust. 1 i 1a, są przesyłane przez wskazany okres, niedłużej niż przez rok, albo do chwili rezygnacji z otrzymywania tych informacji. Dopuszczalne jest przedłużanie tego okresu, każdorazowo na czas nie dłuższy niż rok.</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Jednocześnie przesyła się informacje, o których mowa w ust. 1 i 1a, dotyczące niewięcej niż pięćdziesięciu podmiotów za pośrednictwem systemu teleinformatycznego i niewięcej niż pięćdziesięciu podmiotów za pośrednictwem aplikacji mObywatel.</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Informacje, o których mowa w ust. 1 i 1a, są przesyłane automatycznie po: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zarejestrowaniu w systemie teleinformatycznym sprawy dotyczącej podmiotu, którego numer w Rejestrze wskazano - w przypadku informacji, o której mowa w </w:t>
      </w:r>
      <w:r>
        <w:rPr>
          <w:rFonts w:ascii="Times New Roman"/>
          <w:b w:val="false"/>
          <w:i w:val="false"/>
          <w:color w:val="1b1b1b"/>
          <w:sz w:val="24"/>
          <w:lang w:val="pl-PL"/>
        </w:rPr>
        <w:t>ust. 1 pkt 1</w:t>
      </w:r>
      <w:r>
        <w:rPr>
          <w:rFonts w:ascii="Times New Roman"/>
          <w:b w:val="false"/>
          <w:i w:val="false"/>
          <w:color w:val="000000"/>
          <w:sz w:val="24"/>
          <w:lang w:val="pl-PL"/>
        </w:rPr>
        <w:t>, albo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dokonaniu wpisu w pozycji Rejestru podmiotu, którego numer w Rejestrze wskazano - w przypadku informacji, o której mowa w </w:t>
      </w:r>
      <w:r>
        <w:rPr>
          <w:rFonts w:ascii="Times New Roman"/>
          <w:b w:val="false"/>
          <w:i w:val="false"/>
          <w:color w:val="1b1b1b"/>
          <w:sz w:val="24"/>
          <w:lang w:val="pl-PL"/>
        </w:rPr>
        <w:t>ust. 1 pkt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11.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[Usunięcie, sprostowanie oraz wykreślenie danych z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Dane zawarte w Rejestrze nie mogą być z niego usunięte, chyba że ustawa stanowi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okaże się, że w Rejestrze znajduje się wpis zawierający oczywiste błędy lub niezgodności z treścią postanowienia sądu, sąd z urzędu sprostuje wpis.</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w Rejestrze są zamieszczone dane niedopuszczalne ze względu na obowiązujące przepisy prawa, sąd rejestrowy, po wysłuchaniu zainteresowanych osób na posiedzeniu lub po wezwaniu do złożenia oświadczenia pisemnego, wykreśla je z urzędu.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3</w:t>
      </w:r>
      <w:r>
        <w:rPr>
          <w:rFonts w:ascii="Times New Roman"/>
          <w:b w:val="false"/>
          <w:i w:val="false"/>
          <w:color w:val="000000"/>
          <w:sz w:val="24"/>
          <w:lang w:val="pl-PL"/>
        </w:rPr>
        <w:t xml:space="preserve"> stosuje się odpowiednio do dokumentów złożonych do repozytorium dokumentów finansowych. W przypadku wykreślenia wpisów, o których mowa w </w:t>
      </w:r>
      <w:r>
        <w:rPr>
          <w:rFonts w:ascii="Times New Roman"/>
          <w:b w:val="false"/>
          <w:i w:val="false"/>
          <w:color w:val="1b1b1b"/>
          <w:sz w:val="24"/>
          <w:lang w:val="pl-PL"/>
        </w:rPr>
        <w:t>art. 40 pkt 2-5d</w:t>
      </w:r>
      <w:r>
        <w:rPr>
          <w:rFonts w:ascii="Times New Roman"/>
          <w:b w:val="false"/>
          <w:i w:val="false"/>
          <w:color w:val="000000"/>
          <w:sz w:val="24"/>
          <w:lang w:val="pl-PL"/>
        </w:rPr>
        <w:t>, albo w przypadku stwierdzenia niedopuszczalności złożenia dokumentów do repozytorium dokumentów finansowych sąd rejestrowy jednocześnie usuwa dokumenty stanowiące ich podstawę z repozytorium dokumentów finansowych.</w:t>
      </w:r>
    </w:p>
    <w:p>
      <w:pPr>
        <w:spacing w:before="80" w:after="0"/>
        <w:ind w:left="0"/>
        <w:jc w:val="left"/>
        <w:textAlignment w:val="auto"/>
      </w:pPr>
      <w:r>
        <w:rPr>
          <w:rFonts w:ascii="Times New Roman"/>
          <w:b/>
          <w:i w:val="false"/>
          <w:color w:val="000000"/>
          <w:sz w:val="24"/>
          <w:lang w:val="pl-PL"/>
        </w:rPr>
        <w:t xml:space="preserve"> Art. 13. </w:t>
      </w:r>
      <w:r>
        <w:rPr>
          <w:rFonts w:ascii="Times New Roman"/>
          <w:b/>
          <w:i w:val="false"/>
          <w:color w:val="000000"/>
          <w:sz w:val="24"/>
          <w:vertAlign w:val="superscript"/>
          <w:lang w:val="pl-PL"/>
        </w:rPr>
        <w:t>21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[Niemożność powoływania się na dane nieujawnione w Rejestrze]</w:t>
      </w:r>
    </w:p>
    <w:p>
      <w:pPr>
        <w:spacing w:after="0"/>
        <w:ind w:left="0"/>
        <w:jc w:val="left"/>
        <w:textAlignment w:val="auto"/>
      </w:pPr>
      <w:r>
        <w:rPr>
          <w:rFonts w:ascii="Times New Roman"/>
          <w:b w:val="false"/>
          <w:i w:val="false"/>
          <w:color w:val="000000"/>
          <w:sz w:val="24"/>
          <w:lang w:val="pl-PL"/>
        </w:rPr>
        <w:t>Podmiot obowiązany do złożenia wniosku o wpis do Rejestru nie może powoływać się wobec osób trzecich działających w dobrej wierze na dane, które nie zostały wpisane do Rejestru lub uległy wykreśleniu z Rejestru.</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[Domniemanie znajomości ujawnionych wpisów]</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Od dnia dokonania wpisu w Rejestrze nikt nie może zasłaniać się nieznajomością ujawnionych wpisów. Jednakże w odniesieniu do czynności dokonanych przed upływem szesnastego dnia od dnia dokonania wpisu podmiot wpisany do Rejestru nie może powoływać się na wpis wobec osoby trzeciej, jeżeli ta udowodni, że nie mogła wiedzieć o treści wpisu.</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24</w:t>
      </w:r>
      <w:r>
        <w:rPr>
          <w:rFonts w:ascii="Times New Roman"/>
          <w:b w:val="false"/>
          <w:i w:val="false"/>
          <w:color w:val="000000"/>
          <w:sz w:val="24"/>
          <w:lang w:val="pl-PL"/>
        </w:rPr>
        <w:t xml:space="preserve"> </w:t>
      </w:r>
      <w:r>
        <w:rPr>
          <w:rFonts w:ascii="Times New Roman"/>
          <w:b w:val="false"/>
          <w:i w:val="false"/>
          <w:color w:val="000000"/>
          <w:sz w:val="24"/>
          <w:lang w:val="pl-PL"/>
        </w:rPr>
        <w:t>Osoba trzecia może się powoływać na dokumenty i dane, w odniesieniu do których nie dopełniono jeszcze obowiązku ujawnienia w Rejestrze, jeżeli brak ujawnienia nie pozbawia ich skutków prawnych.</w:t>
      </w:r>
    </w:p>
    <w:p>
      <w:pPr>
        <w:spacing w:before="80" w:after="0"/>
        <w:ind w:left="0"/>
        <w:jc w:val="left"/>
        <w:textAlignment w:val="auto"/>
      </w:pPr>
      <w:r>
        <w:rPr>
          <w:rFonts w:ascii="Times New Roman"/>
          <w:b/>
          <w:i w:val="false"/>
          <w:color w:val="000000"/>
          <w:sz w:val="24"/>
          <w:lang w:val="pl-PL"/>
        </w:rPr>
        <w:t xml:space="preserve"> Art. 16. </w:t>
      </w:r>
      <w:r>
        <w:rPr>
          <w:rFonts w:ascii="Times New Roman"/>
          <w:b/>
          <w:i w:val="false"/>
          <w:color w:val="000000"/>
          <w:sz w:val="24"/>
          <w:vertAlign w:val="superscript"/>
          <w:lang w:val="pl-PL"/>
        </w:rPr>
        <w:t>25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17.</w:t>
      </w:r>
      <w:r>
        <w:rPr>
          <w:rFonts w:ascii="Times New Roman"/>
          <w:b/>
          <w:i w:val="false"/>
          <w:color w:val="000000"/>
          <w:sz w:val="24"/>
          <w:lang w:val="pl-PL"/>
        </w:rPr>
        <w:t xml:space="preserve"> [Domniemanie prawdziwości wpisów do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Domniemywa się, że dane wpisane do Rejestru są prawdziwe.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dane wpisano do Rejestru niezgodnie ze zgłoszeniem podmiotu lub bez tego zgłoszenia, podmiot ten nie może zasłaniać się wobec osoby trzeciej działającej w dobrej wierze zarzutem, że dane te nie są prawdziwe, jeżeli zaniedbał wystąpić niezwłocznie z wnioskiem o sprostowanie, uzupełnienie lub wykreślenie wpisu.</w:t>
      </w:r>
    </w:p>
    <w:p>
      <w:pPr>
        <w:spacing w:before="80"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[Odpowiedzialność odszkodowawcza za zgłoszenie nieprawdziwych danych oraz niezgłoszenie obowiązkowych danych]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 wpisany do Rejestru ponosi odpowiedzialność za szkodę wyrządzoną zgłoszeniem do Rejestru nieprawdziwych danych, jeżeli podlegały obowiązkowi wpisu na jego wniosek, a także niezgłoszeniem danych podlegających obowiązkowi wpisu do Rejestru w ustawowym terminie, chyba że szkoda nastąpiła wskutek siły wyższej albo wyłącznie z winy poszkodowanego lub osoby trzeciej, za którą nie ponosi odpowiedzialności.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do Rejestru jest wpisana osobowa spółka handlowa, odpowiedzialność, o której mowa w </w:t>
      </w:r>
      <w:r>
        <w:rPr>
          <w:rFonts w:ascii="Times New Roman"/>
          <w:b w:val="false"/>
          <w:i w:val="false"/>
          <w:color w:val="1b1b1b"/>
          <w:sz w:val="24"/>
          <w:lang w:val="pl-PL"/>
        </w:rPr>
        <w:t>ust. 1</w:t>
      </w:r>
      <w:r>
        <w:rPr>
          <w:rFonts w:ascii="Times New Roman"/>
          <w:b w:val="false"/>
          <w:i w:val="false"/>
          <w:color w:val="000000"/>
          <w:sz w:val="24"/>
          <w:lang w:val="pl-PL"/>
        </w:rPr>
        <w:t>, ponoszą solidarnie ze spółką osoby odpowiadające za zobowiązania spółki całym swoim majątkiem.</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[Wniosek o wpis do Rejestru; Postępowanie rejestrowe; eKRS]</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Wpis do Rejestru jest dokonywany na wniosek, chyba że przepis szczególny przewiduje wpis z urzędu.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Wnioski dotyczące podmiotu podlegającego wpisowi do rejestru przedsiębiorców składa się wyłącznie za pośrednictwem systemu teleinformatycznego.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wpis w rejestrze, o którym mowa w </w:t>
      </w:r>
      <w:r>
        <w:rPr>
          <w:rFonts w:ascii="Times New Roman"/>
          <w:b w:val="false"/>
          <w:i w:val="false"/>
          <w:color w:val="1b1b1b"/>
          <w:sz w:val="24"/>
          <w:lang w:val="pl-PL"/>
        </w:rPr>
        <w:t>art. 1 ust. 2 pkt 2</w:t>
      </w:r>
      <w:r>
        <w:rPr>
          <w:rFonts w:ascii="Times New Roman"/>
          <w:b w:val="false"/>
          <w:i w:val="false"/>
          <w:color w:val="000000"/>
          <w:sz w:val="24"/>
          <w:lang w:val="pl-PL"/>
        </w:rPr>
        <w:t>, składa się na urzędowym formularzu lub jego kopii albo za pośrednictwem systemu teleinformatycznego. Formularz zawiera niezbędne pouczenia dla stron dotyczące sposobu jego wypełniania, wnoszenia i skutków niedostosowania wniosku do wymagań przewidzianych dla pism procesowych.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Wnioski inne niż o wpis dotyczące podmiotów, o których mowa w </w:t>
      </w:r>
      <w:r>
        <w:rPr>
          <w:rFonts w:ascii="Times New Roman"/>
          <w:b w:val="false"/>
          <w:i w:val="false"/>
          <w:color w:val="1b1b1b"/>
          <w:sz w:val="24"/>
          <w:lang w:val="pl-PL"/>
        </w:rPr>
        <w:t>art. 1 ust. 2 pkt 2</w:t>
      </w:r>
      <w:r>
        <w:rPr>
          <w:rFonts w:ascii="Times New Roman"/>
          <w:b w:val="false"/>
          <w:i w:val="false"/>
          <w:color w:val="000000"/>
          <w:sz w:val="24"/>
          <w:lang w:val="pl-PL"/>
        </w:rPr>
        <w:t>, można składać także za pośrednictwem systemu teleinformatycznego.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Wniosek w postępowaniu przed sądem rejestrowym składa się wraz z opłatą sądową.</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złożony za pośrednictwem systemu teleinformatycznego i nieopłacony nie wywołuje skutków, jakie ustawa wiąże z wniesieniem wniosku do sądu rejestrowego, o czym sąd poucza wnoszącego pismo. Przepisy </w:t>
      </w:r>
      <w:r>
        <w:rPr>
          <w:rFonts w:ascii="Times New Roman"/>
          <w:b w:val="false"/>
          <w:i w:val="false"/>
          <w:color w:val="1b1b1b"/>
          <w:sz w:val="24"/>
          <w:lang w:val="pl-PL"/>
        </w:rPr>
        <w:t>art. 130 § 7</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Kodeksu postępowania cywilnego stosuje się odpowiednio.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Wniosek złożony w innej formie niż za pośrednictwem systemu teleinformatycznego i nieopłacony podlega zwróceniu bez wzywania do uzupełnienia braków.</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Nieprawidłowo wypełniony wniosek o wpis podlega zwróceniu bez wzywania do uzupełnienia braków, jeżeli z powodu nieprawidłowego wypełnienia nie jest możliwe nadanie wnioskowi prawidłowego biegu.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Wniosek o wpis złożony z naruszeniem ust. 3 podlega zwróceniu bez wzywania do uzupełnienia braków.</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zwrócenia wniosku zgodnie z </w:t>
      </w:r>
      <w:r>
        <w:rPr>
          <w:rFonts w:ascii="Times New Roman"/>
          <w:b w:val="false"/>
          <w:i w:val="false"/>
          <w:color w:val="1b1b1b"/>
          <w:sz w:val="24"/>
          <w:lang w:val="pl-PL"/>
        </w:rPr>
        <w:t>ust. 7-9</w:t>
      </w:r>
      <w:r>
        <w:rPr>
          <w:rFonts w:ascii="Times New Roman"/>
          <w:b w:val="false"/>
          <w:i w:val="false"/>
          <w:color w:val="000000"/>
          <w:sz w:val="24"/>
          <w:lang w:val="pl-PL"/>
        </w:rPr>
        <w:t xml:space="preserve"> może on być ponownie złożony w terminie 7 dni od daty doręczenia zarządzenia o zwrocie. Jeżeli wniosek ponownie złożony nie zawiera braków, wywołuje on skutek od daty pierwotnego wniesienia. Skutek taki nie następuje w razie kolejnego zwrotu wniosku, chyba że zwrot nastąpił na skutek braków uprzednio niewskazanych.</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Minister Sprawiedliwości określi, w drodze rozporządzenia, wzory, sposób i miejsca udostępniania urzędowych formularzy, mając na uwadze wymagania przewidziane dla pism procesowych oraz konieczność zapewnienia bezpieczeństwa i pewności obrotu gospodarczego.</w:t>
      </w:r>
    </w:p>
    <w:p>
      <w:pPr>
        <w:spacing w:before="80" w:after="0"/>
        <w:ind w:left="0"/>
        <w:jc w:val="left"/>
        <w:textAlignment w:val="auto"/>
      </w:pPr>
      <w:r>
        <w:rPr>
          <w:rFonts w:ascii="Times New Roman"/>
          <w:b/>
          <w:i w:val="false"/>
          <w:color w:val="000000"/>
          <w:sz w:val="24"/>
          <w:lang w:val="pl-PL"/>
        </w:rPr>
        <w:t xml:space="preserve"> Art. 19a.</w:t>
      </w:r>
      <w:r>
        <w:rPr>
          <w:rFonts w:ascii="Times New Roman"/>
          <w:b/>
          <w:i w:val="false"/>
          <w:color w:val="000000"/>
          <w:sz w:val="24"/>
          <w:lang w:val="pl-PL"/>
        </w:rPr>
        <w:t xml:space="preserve"> [Załączniki do wniosku o wpis do Rejestru. Wskazanie pełnomocnika do doręczeń. Obowiązek zgłoszenia zmiany adresu do doręczeń. Zwolnienie z opłat]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Do wniosku o wpis osób reprezentujących podmiot wpisany do Rejestru, likwidatorów i prokurentów należy dołączyć oświadczenia tych osób obejmujące zgodę na ich powołanie oraz ich adresy do doręczeń. Wymogu dołączenia oświadczenia obejmującego zgodę nie stosuje się, jeżeli wniosek o wpis jest podpisany przez osobę, która podlega wpisowi albo która udzieliła pełnomocnictwa do złożenia wniosku o wpis, albo której zgoda jest wyrażona w protokole z posiedzenia organu powołującego daną osobę lub w umowie spółki.</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adres do doręczeń osób, o których mowa w </w:t>
      </w:r>
      <w:r>
        <w:rPr>
          <w:rFonts w:ascii="Times New Roman"/>
          <w:b w:val="false"/>
          <w:i w:val="false"/>
          <w:color w:val="1b1b1b"/>
          <w:sz w:val="24"/>
          <w:lang w:val="pl-PL"/>
        </w:rPr>
        <w:t>ust. 5</w:t>
      </w:r>
      <w:r>
        <w:rPr>
          <w:rFonts w:ascii="Times New Roman"/>
          <w:b w:val="false"/>
          <w:i w:val="false"/>
          <w:color w:val="000000"/>
          <w:sz w:val="24"/>
          <w:lang w:val="pl-PL"/>
        </w:rPr>
        <w:t>, znajduje się poza obszarem Unii Europejskiej, należy wskazać pełnomocnika do doręczeń w Rzeczypospolitej Polskiej.</w:t>
      </w:r>
    </w:p>
    <w:p>
      <w:pPr>
        <w:spacing w:before="26" w:after="0"/>
        <w:ind w:left="0"/>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 xml:space="preserve">Każdorazową zmianę adresu do doręczeń osób, o których mowa w </w:t>
      </w:r>
      <w:r>
        <w:rPr>
          <w:rFonts w:ascii="Times New Roman"/>
          <w:b w:val="false"/>
          <w:i w:val="false"/>
          <w:color w:val="1b1b1b"/>
          <w:sz w:val="24"/>
          <w:lang w:val="pl-PL"/>
        </w:rPr>
        <w:t>ust. 5</w:t>
      </w:r>
      <w:r>
        <w:rPr>
          <w:rFonts w:ascii="Times New Roman"/>
          <w:b w:val="false"/>
          <w:i w:val="false"/>
          <w:color w:val="000000"/>
          <w:sz w:val="24"/>
          <w:lang w:val="pl-PL"/>
        </w:rPr>
        <w:t xml:space="preserve">, lub danych pełnomocnika, o którym mowa w </w:t>
      </w:r>
      <w:r>
        <w:rPr>
          <w:rFonts w:ascii="Times New Roman"/>
          <w:b w:val="false"/>
          <w:i w:val="false"/>
          <w:color w:val="1b1b1b"/>
          <w:sz w:val="24"/>
          <w:lang w:val="pl-PL"/>
        </w:rPr>
        <w:t>ust. 5a</w:t>
      </w:r>
      <w:r>
        <w:rPr>
          <w:rFonts w:ascii="Times New Roman"/>
          <w:b w:val="false"/>
          <w:i w:val="false"/>
          <w:color w:val="000000"/>
          <w:sz w:val="24"/>
          <w:lang w:val="pl-PL"/>
        </w:rPr>
        <w:t xml:space="preserve">, należy zgłosić sądowi rejestrowemu, załączając oświadczenie, o którym mowa w </w:t>
      </w:r>
      <w:r>
        <w:rPr>
          <w:rFonts w:ascii="Times New Roman"/>
          <w:b w:val="false"/>
          <w:i w:val="false"/>
          <w:color w:val="1b1b1b"/>
          <w:sz w:val="24"/>
          <w:lang w:val="pl-PL"/>
        </w:rPr>
        <w:t>ust. 5</w:t>
      </w:r>
      <w:r>
        <w:rPr>
          <w:rFonts w:ascii="Times New Roman"/>
          <w:b w:val="false"/>
          <w:i w:val="false"/>
          <w:color w:val="000000"/>
          <w:sz w:val="24"/>
          <w:lang w:val="pl-PL"/>
        </w:rPr>
        <w:t xml:space="preserve">. Zgłoszenia dokonują podmiot wpisany do Rejestru albo osoby, o których mowa w </w:t>
      </w:r>
      <w:r>
        <w:rPr>
          <w:rFonts w:ascii="Times New Roman"/>
          <w:b w:val="false"/>
          <w:i w:val="false"/>
          <w:color w:val="1b1b1b"/>
          <w:sz w:val="24"/>
          <w:lang w:val="pl-PL"/>
        </w:rPr>
        <w:t>ust. 5</w:t>
      </w:r>
      <w:r>
        <w:rPr>
          <w:rFonts w:ascii="Times New Roman"/>
          <w:b w:val="false"/>
          <w:i w:val="false"/>
          <w:color w:val="000000"/>
          <w:sz w:val="24"/>
          <w:lang w:val="pl-PL"/>
        </w:rPr>
        <w:t xml:space="preserve"> i </w:t>
      </w:r>
      <w:r>
        <w:rPr>
          <w:rFonts w:ascii="Times New Roman"/>
          <w:b w:val="false"/>
          <w:i w:val="false"/>
          <w:color w:val="1b1b1b"/>
          <w:sz w:val="24"/>
          <w:lang w:val="pl-PL"/>
        </w:rPr>
        <w:t>5a</w:t>
      </w:r>
      <w:r>
        <w:rPr>
          <w:rFonts w:ascii="Times New Roman"/>
          <w:b w:val="false"/>
          <w:i w:val="false"/>
          <w:color w:val="000000"/>
          <w:sz w:val="24"/>
          <w:lang w:val="pl-PL"/>
        </w:rPr>
        <w:t>. Do chwili zgłoszenia zmiany adresu doręczeń dokonuje się na adres zgłoszony do akt rejestrowych.</w:t>
      </w:r>
    </w:p>
    <w:p>
      <w:pPr>
        <w:spacing w:before="26" w:after="0"/>
        <w:ind w:left="0"/>
        <w:jc w:val="left"/>
        <w:textAlignment w:val="auto"/>
      </w:pPr>
      <w:r>
        <w:rPr>
          <w:rFonts w:ascii="Times New Roman"/>
          <w:b w:val="false"/>
          <w:i w:val="false"/>
          <w:color w:val="000000"/>
          <w:sz w:val="24"/>
          <w:lang w:val="pl-PL"/>
        </w:rPr>
        <w:t>5c.</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zmian, o których mowa w </w:t>
      </w:r>
      <w:r>
        <w:rPr>
          <w:rFonts w:ascii="Times New Roman"/>
          <w:b w:val="false"/>
          <w:i w:val="false"/>
          <w:color w:val="1b1b1b"/>
          <w:sz w:val="24"/>
          <w:lang w:val="pl-PL"/>
        </w:rPr>
        <w:t>ust. 5b</w:t>
      </w:r>
      <w:r>
        <w:rPr>
          <w:rFonts w:ascii="Times New Roman"/>
          <w:b w:val="false"/>
          <w:i w:val="false"/>
          <w:color w:val="000000"/>
          <w:sz w:val="24"/>
          <w:lang w:val="pl-PL"/>
        </w:rPr>
        <w:t>, nie podlega opłacie sądowej.</w:t>
      </w:r>
    </w:p>
    <w:p>
      <w:pPr>
        <w:spacing w:before="26" w:after="0"/>
        <w:ind w:left="0"/>
        <w:jc w:val="left"/>
        <w:textAlignment w:val="auto"/>
      </w:pPr>
      <w:r>
        <w:rPr>
          <w:rFonts w:ascii="Times New Roman"/>
          <w:b w:val="false"/>
          <w:i w:val="false"/>
          <w:color w:val="000000"/>
          <w:sz w:val="24"/>
          <w:lang w:val="pl-PL"/>
        </w:rPr>
        <w:t>5d.</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zgłoszenia spółki kapitałowej do Rejestru należy dołączyć listę obejmującą nazwisko i imię oraz adres do doręczeń albo firmę lub nazwę i siedzibę członków organów lub osób uprawnionych do powołania zarządu. W przypadku gdy wspólnikiem jest osoba prawna, należy podać imiona i nazwiska oraz adresy do doręczeń członków organu uprawnionego do reprezentowania tej osoby prawnej. Każdorazową zmianę tych osób oraz danych tych osób należy zgłosić sądowi rejestrowemu, przedkładając nową listę. Przepisy </w:t>
      </w:r>
      <w:r>
        <w:rPr>
          <w:rFonts w:ascii="Times New Roman"/>
          <w:b w:val="false"/>
          <w:i w:val="false"/>
          <w:color w:val="1b1b1b"/>
          <w:sz w:val="24"/>
          <w:lang w:val="pl-PL"/>
        </w:rPr>
        <w:t>ust. 5a-5c</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 xml:space="preserve">6. </w:t>
      </w:r>
      <w:r>
        <w:rPr>
          <w:rFonts w:ascii="Times New Roman"/>
          <w:b w:val="false"/>
          <w:i w:val="false"/>
          <w:color w:val="000000"/>
          <w:sz w:val="24"/>
          <w:vertAlign w:val="superscript"/>
          <w:lang w:val="pl-PL"/>
        </w:rPr>
        <w:t>26</w:t>
      </w:r>
      <w:r>
        <w:rPr>
          <w:rFonts w:ascii="Times New Roman"/>
          <w:b w:val="false"/>
          <w:i w:val="false"/>
          <w:color w:val="000000"/>
          <w:sz w:val="24"/>
          <w:lang w:val="pl-PL"/>
        </w:rPr>
        <w:t xml:space="preserve"> </w:t>
      </w:r>
      <w:r>
        <w:rPr>
          <w:rFonts w:ascii="Times New Roman"/>
          <w:b w:val="false"/>
          <w:i w:val="false"/>
          <w:color w:val="000000"/>
          <w:sz w:val="24"/>
          <w:lang w:val="pl-PL"/>
        </w:rPr>
        <w:t>Wniosek dotyczący wyłącznie wpisu wzmianki wskazanej w art. 40 pkt 7 nie podlega opłacie sądowej. Postanowienia uwzględniającego taki wniosek nie doręcza się wnioskodawcy.</w:t>
      </w:r>
    </w:p>
    <w:p>
      <w:pPr>
        <w:spacing w:before="80" w:after="0"/>
        <w:ind w:left="0"/>
        <w:jc w:val="left"/>
        <w:textAlignment w:val="auto"/>
      </w:pPr>
      <w:r>
        <w:rPr>
          <w:rFonts w:ascii="Times New Roman"/>
          <w:b/>
          <w:i w:val="false"/>
          <w:color w:val="000000"/>
          <w:sz w:val="24"/>
          <w:lang w:val="pl-PL"/>
        </w:rPr>
        <w:t xml:space="preserve"> Art. 19b.</w:t>
      </w:r>
      <w:r>
        <w:rPr>
          <w:rFonts w:ascii="Times New Roman"/>
          <w:b/>
          <w:i w:val="false"/>
          <w:color w:val="000000"/>
          <w:sz w:val="24"/>
          <w:lang w:val="pl-PL"/>
        </w:rPr>
        <w:t xml:space="preserve"> [NIP lub REGON we wniosku o wpis do Rejestru]</w:t>
      </w:r>
    </w:p>
    <w:p>
      <w:pPr>
        <w:spacing w:after="0"/>
        <w:ind w:left="0"/>
        <w:jc w:val="left"/>
        <w:textAlignment w:val="auto"/>
      </w:pPr>
      <w:r>
        <w:rPr>
          <w:rFonts w:ascii="Times New Roman"/>
          <w:b w:val="false"/>
          <w:i w:val="false"/>
          <w:color w:val="000000"/>
          <w:sz w:val="24"/>
          <w:lang w:val="pl-PL"/>
        </w:rPr>
        <w:t xml:space="preserve">Spółka kapitałowa w organizacji oraz podmioty, o których mowa w </w:t>
      </w:r>
      <w:r>
        <w:rPr>
          <w:rFonts w:ascii="Times New Roman"/>
          <w:b w:val="false"/>
          <w:i w:val="false"/>
          <w:color w:val="1b1b1b"/>
          <w:sz w:val="24"/>
          <w:lang w:val="pl-PL"/>
        </w:rPr>
        <w:t>art. 49a ust. 1</w:t>
      </w:r>
      <w:r>
        <w:rPr>
          <w:rFonts w:ascii="Times New Roman"/>
          <w:b w:val="false"/>
          <w:i w:val="false"/>
          <w:color w:val="000000"/>
          <w:sz w:val="24"/>
          <w:lang w:val="pl-PL"/>
        </w:rPr>
        <w:t>, we wniosku o wpis do</w:t>
      </w:r>
    </w:p>
    <w:p>
      <w:pPr>
        <w:spacing w:before="25" w:after="0"/>
        <w:ind w:left="0"/>
        <w:jc w:val="left"/>
        <w:textAlignment w:val="auto"/>
      </w:pPr>
      <w:r>
        <w:rPr>
          <w:rFonts w:ascii="Times New Roman"/>
          <w:b w:val="false"/>
          <w:i w:val="false"/>
          <w:color w:val="000000"/>
          <w:sz w:val="24"/>
          <w:lang w:val="pl-PL"/>
        </w:rPr>
        <w:t>Rejestru zamieszczają informację, że nie wystąpiły o uzyskanie NIP lub numeru identyfikacyjnego REGON, chyba że zgłaszają je do Rejestru.</w:t>
      </w:r>
    </w:p>
    <w:p>
      <w:pPr>
        <w:spacing w:before="80" w:after="0"/>
        <w:ind w:left="0"/>
        <w:jc w:val="left"/>
        <w:textAlignment w:val="auto"/>
      </w:pPr>
      <w:r>
        <w:rPr>
          <w:rFonts w:ascii="Times New Roman"/>
          <w:b/>
          <w:i w:val="false"/>
          <w:color w:val="000000"/>
          <w:sz w:val="24"/>
          <w:lang w:val="pl-PL"/>
        </w:rPr>
        <w:t xml:space="preserve"> Art. 19c.</w:t>
      </w:r>
      <w:r>
        <w:rPr>
          <w:rFonts w:ascii="Times New Roman"/>
          <w:b/>
          <w:i w:val="false"/>
          <w:color w:val="000000"/>
          <w:sz w:val="24"/>
          <w:lang w:val="pl-PL"/>
        </w:rPr>
        <w:t xml:space="preserve"> [Oświadczenie o statusie cudzoziemca]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We wniosku o wpis do rejestru przedsiębiorców lub zmianę wpisu obejmującą nabycie lub objęcie udziałów, akcji lub ogółu praw i obowiązków oraz w przypadku złożenia do akt rejestrowych dokumentów w trybie art. 9 ust. 2, zawierających informacje o zmianach wspólników spółki, wnioskodawca zamieszcza oświadczenie, czy jest cudzoziemcem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24 marca 1920 r. o nabywaniu nieruchomości przez cudzoziemców (Dz. U. z 2017 r. poz. 2278).</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posiadania statusu cudzoziemca w rozumieniu </w:t>
      </w:r>
      <w:r>
        <w:rPr>
          <w:rFonts w:ascii="Times New Roman"/>
          <w:b w:val="false"/>
          <w:i w:val="false"/>
          <w:color w:val="1b1b1b"/>
          <w:sz w:val="24"/>
          <w:lang w:val="pl-PL"/>
        </w:rPr>
        <w:t>ustawy</w:t>
      </w:r>
      <w:r>
        <w:rPr>
          <w:rFonts w:ascii="Times New Roman"/>
          <w:b w:val="false"/>
          <w:i w:val="false"/>
          <w:color w:val="000000"/>
          <w:sz w:val="24"/>
          <w:lang w:val="pl-PL"/>
        </w:rPr>
        <w:t xml:space="preserve"> z dnia 24 marca 1920 r. o nabywaniu nieruchomości przez cudzoziemców wnioskodawca we wniosku, o którym mowa w </w:t>
      </w:r>
      <w:r>
        <w:rPr>
          <w:rFonts w:ascii="Times New Roman"/>
          <w:b w:val="false"/>
          <w:i w:val="false"/>
          <w:color w:val="1b1b1b"/>
          <w:sz w:val="24"/>
          <w:lang w:val="pl-PL"/>
        </w:rPr>
        <w:t>ust. 1</w:t>
      </w:r>
      <w:r>
        <w:rPr>
          <w:rFonts w:ascii="Times New Roman"/>
          <w:b w:val="false"/>
          <w:i w:val="false"/>
          <w:color w:val="000000"/>
          <w:sz w:val="24"/>
          <w:lang w:val="pl-PL"/>
        </w:rPr>
        <w:t>, zamieszcza także oświadczenie, czy jest właścicielem lub wieczystym użytkownikiem nieruchomości położonych na terytorium Rzeczypospolitej Polskiej.</w:t>
      </w:r>
    </w:p>
    <w:p>
      <w:pPr>
        <w:spacing w:before="80" w:after="0"/>
        <w:ind w:left="0"/>
        <w:jc w:val="left"/>
        <w:textAlignment w:val="auto"/>
      </w:pPr>
      <w:r>
        <w:rPr>
          <w:rFonts w:ascii="Times New Roman"/>
          <w:b/>
          <w:i w:val="false"/>
          <w:color w:val="000000"/>
          <w:sz w:val="24"/>
          <w:lang w:val="pl-PL"/>
        </w:rPr>
        <w:t xml:space="preserve"> Art. 19d.</w:t>
      </w:r>
      <w:r>
        <w:rPr>
          <w:rFonts w:ascii="Times New Roman"/>
          <w:b/>
          <w:i w:val="false"/>
          <w:color w:val="000000"/>
          <w:sz w:val="24"/>
          <w:lang w:val="pl-PL"/>
        </w:rPr>
        <w:t xml:space="preserve"> [Przekazanie dokumentu z Centralnego Repozytorium Elektronicznych Wypisów Aktów Notarialnych]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Jeżeli do wniosku należy dołączyć akt notarialny, którego wypis lub wyciąg został umieszczony w Repozytorium, wnioskodawca podaje we wniosku numer tego dokumentu w Repozytorium.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 zarejestrowaniu wniosku dokument, którego numer w Repozytorium został podany przez wnioskodawcę, jest automatycznie przekazywany za pośrednictwem systemu teleinformatycznego z Repozytorium i dołączany do wniosku.</w:t>
      </w:r>
    </w:p>
    <w:p>
      <w:pPr>
        <w:spacing w:before="80" w:after="0"/>
        <w:ind w:left="0"/>
        <w:jc w:val="left"/>
        <w:textAlignment w:val="auto"/>
      </w:pPr>
      <w:r>
        <w:rPr>
          <w:rFonts w:ascii="Times New Roman"/>
          <w:b/>
          <w:i w:val="false"/>
          <w:color w:val="000000"/>
          <w:sz w:val="24"/>
          <w:lang w:val="pl-PL"/>
        </w:rPr>
        <w:t xml:space="preserve"> Art. 19e.</w:t>
      </w:r>
      <w:r>
        <w:rPr>
          <w:rFonts w:ascii="Times New Roman"/>
          <w:b/>
          <w:i w:val="false"/>
          <w:color w:val="000000"/>
          <w:sz w:val="24"/>
          <w:lang w:val="pl-PL"/>
        </w:rPr>
        <w:t xml:space="preserve"> [Złożenie dokumentów finansowych drogą elektroniczną]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Złożenie dokumentów, o których mowa w </w:t>
      </w:r>
      <w:r>
        <w:rPr>
          <w:rFonts w:ascii="Times New Roman"/>
          <w:b w:val="false"/>
          <w:i w:val="false"/>
          <w:color w:val="1b1b1b"/>
          <w:sz w:val="24"/>
          <w:lang w:val="pl-PL"/>
        </w:rPr>
        <w:t>art. 63v pkt 3</w:t>
      </w:r>
      <w:r>
        <w:rPr>
          <w:rFonts w:ascii="Times New Roman"/>
          <w:b w:val="false"/>
          <w:i w:val="false"/>
          <w:color w:val="000000"/>
          <w:sz w:val="24"/>
          <w:lang w:val="pl-PL"/>
        </w:rPr>
        <w:t xml:space="preserve">, </w:t>
      </w:r>
      <w:r>
        <w:rPr>
          <w:rFonts w:ascii="Times New Roman"/>
          <w:b w:val="false"/>
          <w:i w:val="false"/>
          <w:color w:val="1b1b1b"/>
          <w:sz w:val="24"/>
          <w:lang w:val="pl-PL"/>
        </w:rPr>
        <w:t>art. 63za pkt 3</w:t>
      </w:r>
      <w:r>
        <w:rPr>
          <w:rFonts w:ascii="Times New Roman"/>
          <w:b w:val="false"/>
          <w:i w:val="false"/>
          <w:color w:val="000000"/>
          <w:sz w:val="24"/>
          <w:lang w:val="pl-PL"/>
        </w:rPr>
        <w:t xml:space="preserve">, </w:t>
      </w:r>
      <w:r>
        <w:rPr>
          <w:rFonts w:ascii="Times New Roman"/>
          <w:b w:val="false"/>
          <w:i w:val="false"/>
          <w:color w:val="1b1b1b"/>
          <w:sz w:val="24"/>
          <w:lang w:val="pl-PL"/>
        </w:rPr>
        <w:t>art. 63zd ust. 8</w:t>
      </w:r>
      <w:r>
        <w:rPr>
          <w:rFonts w:ascii="Times New Roman"/>
          <w:b w:val="false"/>
          <w:i w:val="false"/>
          <w:color w:val="000000"/>
          <w:sz w:val="24"/>
          <w:lang w:val="pl-PL"/>
        </w:rPr>
        <w:t xml:space="preserve"> oraz </w:t>
      </w:r>
      <w:r>
        <w:rPr>
          <w:rFonts w:ascii="Times New Roman"/>
          <w:b w:val="false"/>
          <w:i w:val="false"/>
          <w:color w:val="1b1b1b"/>
          <w:sz w:val="24"/>
          <w:lang w:val="pl-PL"/>
        </w:rPr>
        <w:t>art. 69</w:t>
      </w:r>
      <w:r>
        <w:rPr>
          <w:rFonts w:ascii="Times New Roman"/>
          <w:b w:val="false"/>
          <w:i w:val="false"/>
          <w:color w:val="000000"/>
          <w:sz w:val="24"/>
          <w:lang w:val="pl-PL"/>
        </w:rPr>
        <w:t xml:space="preserve"> ustawy z dnia 29 września 1994 r. o rachunkowości, następuje przez zgłoszenie za pośrednictwem systemu teleinformatycznego udostępnionego do tego celu przez Ministra Sprawiedliwości.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Zgłoszenie opatruje kwalifikowanym podpisem elektronicznym, podpisem zaufanym albo podpisem osobistym co najmniej jedna osoba fizyczna, której numer PESEL jest ujawniony w Rejestrze, wpisana jako uprawniona samodzielnie lub łącznie z innymi osobami do reprezentowania podmiotu, prokurent, syndyk, zarządca w postępowaniu restrukturyzacyjnym albo likwidator.</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zgłoszenia uchwały bądź postanowienia o zatwierdzeniu rocznego sprawozdania finansowego i rocznego skonsolidowanego sprawozdania finansowego grupy kapitałowej oraz podziale zysku lub pokryciu straty, jak również dokumentów, o których mowa w </w:t>
      </w:r>
      <w:r>
        <w:rPr>
          <w:rFonts w:ascii="Times New Roman"/>
          <w:b w:val="false"/>
          <w:i w:val="false"/>
          <w:color w:val="1b1b1b"/>
          <w:sz w:val="24"/>
          <w:lang w:val="pl-PL"/>
        </w:rPr>
        <w:t>art. 69 ust. 1c</w:t>
      </w:r>
      <w:r>
        <w:rPr>
          <w:rFonts w:ascii="Times New Roman"/>
          <w:b w:val="false"/>
          <w:i w:val="false"/>
          <w:color w:val="000000"/>
          <w:sz w:val="24"/>
          <w:lang w:val="pl-PL"/>
        </w:rPr>
        <w:t xml:space="preserve">, </w:t>
      </w:r>
      <w:r>
        <w:rPr>
          <w:rFonts w:ascii="Times New Roman"/>
          <w:b w:val="false"/>
          <w:i w:val="false"/>
          <w:color w:val="1b1b1b"/>
          <w:sz w:val="24"/>
          <w:lang w:val="pl-PL"/>
        </w:rPr>
        <w:t>1d</w:t>
      </w:r>
      <w:r>
        <w:rPr>
          <w:rFonts w:ascii="Times New Roman"/>
          <w:b w:val="false"/>
          <w:i w:val="false"/>
          <w:color w:val="000000"/>
          <w:sz w:val="24"/>
          <w:lang w:val="pl-PL"/>
        </w:rPr>
        <w:t xml:space="preserve">, </w:t>
      </w:r>
      <w:r>
        <w:rPr>
          <w:rFonts w:ascii="Times New Roman"/>
          <w:b w:val="false"/>
          <w:i w:val="false"/>
          <w:color w:val="1b1b1b"/>
          <w:sz w:val="24"/>
          <w:lang w:val="pl-PL"/>
        </w:rPr>
        <w:t>3a</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ustawy z dnia 29 września 1994 r. o rachunkowości, a także sporządzonych do dnia 30 września 2018 r. innych dokumentów, o których mowa w </w:t>
      </w:r>
      <w:r>
        <w:rPr>
          <w:rFonts w:ascii="Times New Roman"/>
          <w:b w:val="false"/>
          <w:i w:val="false"/>
          <w:color w:val="1b1b1b"/>
          <w:sz w:val="24"/>
          <w:lang w:val="pl-PL"/>
        </w:rPr>
        <w:t>art. 69 ust. 1</w:t>
      </w:r>
      <w:r>
        <w:rPr>
          <w:rFonts w:ascii="Times New Roman"/>
          <w:b w:val="false"/>
          <w:i w:val="false"/>
          <w:color w:val="000000"/>
          <w:sz w:val="24"/>
          <w:lang w:val="pl-PL"/>
        </w:rPr>
        <w:t xml:space="preserve">, </w:t>
      </w:r>
      <w:r>
        <w:rPr>
          <w:rFonts w:ascii="Times New Roman"/>
          <w:b w:val="false"/>
          <w:i w:val="false"/>
          <w:color w:val="1b1b1b"/>
          <w:sz w:val="24"/>
          <w:lang w:val="pl-PL"/>
        </w:rPr>
        <w:t>1b</w:t>
      </w:r>
      <w:r>
        <w:rPr>
          <w:rFonts w:ascii="Times New Roman"/>
          <w:b w:val="false"/>
          <w:i w:val="false"/>
          <w:color w:val="000000"/>
          <w:sz w:val="24"/>
          <w:lang w:val="pl-PL"/>
        </w:rPr>
        <w:t xml:space="preserve">, </w:t>
      </w:r>
      <w:r>
        <w:rPr>
          <w:rFonts w:ascii="Times New Roman"/>
          <w:b w:val="false"/>
          <w:i w:val="false"/>
          <w:color w:val="1b1b1b"/>
          <w:sz w:val="24"/>
          <w:lang w:val="pl-PL"/>
        </w:rPr>
        <w:t>1f</w:t>
      </w:r>
      <w:r>
        <w:rPr>
          <w:rFonts w:ascii="Times New Roman"/>
          <w:b w:val="false"/>
          <w:i w:val="false"/>
          <w:color w:val="000000"/>
          <w:sz w:val="24"/>
          <w:lang w:val="pl-PL"/>
        </w:rPr>
        <w:t xml:space="preserve">, </w:t>
      </w:r>
      <w:r>
        <w:rPr>
          <w:rFonts w:ascii="Times New Roman"/>
          <w:b w:val="false"/>
          <w:i w:val="false"/>
          <w:color w:val="1b1b1b"/>
          <w:sz w:val="24"/>
          <w:lang w:val="pl-PL"/>
        </w:rPr>
        <w:t>1g</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tej ustawy, można dołączyć ich kopie podpisane w sposób określony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Zgłoszenia może także dokonać adwokat, radca prawny lub prawnik zagraniczny, których dane Naczelna Rada Adwokacka i Krajowa Rada Radców Prawnych udostępniła sądom i Ministrowi Sprawiedliwości za pośrednictwem systemu teleinformatycznego, o którym mowa w </w:t>
      </w:r>
      <w:r>
        <w:rPr>
          <w:rFonts w:ascii="Times New Roman"/>
          <w:b w:val="false"/>
          <w:i w:val="false"/>
          <w:color w:val="1b1b1b"/>
          <w:sz w:val="24"/>
          <w:lang w:val="pl-PL"/>
        </w:rPr>
        <w:t>art. 58a</w:t>
      </w:r>
      <w:r>
        <w:rPr>
          <w:rFonts w:ascii="Times New Roman"/>
          <w:b w:val="false"/>
          <w:i w:val="false"/>
          <w:color w:val="000000"/>
          <w:sz w:val="24"/>
          <w:lang w:val="pl-PL"/>
        </w:rPr>
        <w:t xml:space="preserve"> ustawy z dnia 26 maja 1982 r. - Prawo o adwokaturze (Dz. U. z 2024 r. poz. 1564) i </w:t>
      </w:r>
      <w:r>
        <w:rPr>
          <w:rFonts w:ascii="Times New Roman"/>
          <w:b w:val="false"/>
          <w:i w:val="false"/>
          <w:color w:val="1b1b1b"/>
          <w:sz w:val="24"/>
          <w:lang w:val="pl-PL"/>
        </w:rPr>
        <w:t>art. 60</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ustawy z dnia 6 lipca 1982 r. o radcach prawnych (Dz. U. z 2024 r. poz. 499), o ile w systemie tym ujawniony jest ich numer PESEL i są oni umocowani do dokonania zgłoszenia. W takim przypadku adwokat, radca prawny lub prawnik zagraniczny powołuje się na udzielone mu pełnomocnictwo oraz podpisuje zgłoszenie kwalifikowanym podpisem elektronicznym, podpisem zaufanym albo podpisem osobistym.</w:t>
      </w:r>
    </w:p>
    <w:p>
      <w:pPr>
        <w:spacing w:before="26" w:after="0"/>
        <w:ind w:left="0"/>
        <w:jc w:val="left"/>
        <w:textAlignment w:val="auto"/>
      </w:pPr>
      <w:r>
        <w:rPr>
          <w:rFonts w:ascii="Times New Roman"/>
          <w:b w:val="false"/>
          <w:i w:val="false"/>
          <w:color w:val="000000"/>
          <w:sz w:val="24"/>
          <w:lang w:val="pl-PL"/>
        </w:rPr>
        <w:t>3b.</w:t>
      </w:r>
      <w:r>
        <w:rPr>
          <w:rFonts w:ascii="Times New Roman"/>
          <w:b w:val="false"/>
          <w:i w:val="false"/>
          <w:color w:val="000000"/>
          <w:sz w:val="24"/>
          <w:lang w:val="pl-PL"/>
        </w:rPr>
        <w:t xml:space="preserve"> </w:t>
      </w:r>
      <w:r>
        <w:rPr>
          <w:rFonts w:ascii="Times New Roman"/>
          <w:b w:val="false"/>
          <w:i w:val="false"/>
          <w:color w:val="000000"/>
          <w:sz w:val="24"/>
          <w:lang w:val="pl-PL"/>
        </w:rPr>
        <w:t xml:space="preserve">Adwokat, radca prawny lub prawnik zagraniczny zgłaszający uchwałę bądź postanowienie o zatwierdzeniu rocznego sprawozdania finansowego i rocznego skonsolidowanego sprawozdania finansowego grupy kapitałowej oraz podziale zysku lub pokryciu straty, jak również dokumenty, o których mowa w </w:t>
      </w:r>
      <w:r>
        <w:rPr>
          <w:rFonts w:ascii="Times New Roman"/>
          <w:b w:val="false"/>
          <w:i w:val="false"/>
          <w:color w:val="1b1b1b"/>
          <w:sz w:val="24"/>
          <w:lang w:val="pl-PL"/>
        </w:rPr>
        <w:t>art. 69 ust. 1c</w:t>
      </w:r>
      <w:r>
        <w:rPr>
          <w:rFonts w:ascii="Times New Roman"/>
          <w:b w:val="false"/>
          <w:i w:val="false"/>
          <w:color w:val="000000"/>
          <w:sz w:val="24"/>
          <w:lang w:val="pl-PL"/>
        </w:rPr>
        <w:t xml:space="preserve">, </w:t>
      </w:r>
      <w:r>
        <w:rPr>
          <w:rFonts w:ascii="Times New Roman"/>
          <w:b w:val="false"/>
          <w:i w:val="false"/>
          <w:color w:val="1b1b1b"/>
          <w:sz w:val="24"/>
          <w:lang w:val="pl-PL"/>
        </w:rPr>
        <w:t>1d</w:t>
      </w:r>
      <w:r>
        <w:rPr>
          <w:rFonts w:ascii="Times New Roman"/>
          <w:b w:val="false"/>
          <w:i w:val="false"/>
          <w:color w:val="000000"/>
          <w:sz w:val="24"/>
          <w:lang w:val="pl-PL"/>
        </w:rPr>
        <w:t xml:space="preserve">, </w:t>
      </w:r>
      <w:r>
        <w:rPr>
          <w:rFonts w:ascii="Times New Roman"/>
          <w:b w:val="false"/>
          <w:i w:val="false"/>
          <w:color w:val="1b1b1b"/>
          <w:sz w:val="24"/>
          <w:lang w:val="pl-PL"/>
        </w:rPr>
        <w:t>3a</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ustawy z dnia 29 września 1994 r. o rachunkowości, a także sporządzone do dnia 30 września 2018 r. inne dokumenty, o których mowa w </w:t>
      </w:r>
      <w:r>
        <w:rPr>
          <w:rFonts w:ascii="Times New Roman"/>
          <w:b w:val="false"/>
          <w:i w:val="false"/>
          <w:color w:val="1b1b1b"/>
          <w:sz w:val="24"/>
          <w:lang w:val="pl-PL"/>
        </w:rPr>
        <w:t>art. 69 ust. 1</w:t>
      </w:r>
      <w:r>
        <w:rPr>
          <w:rFonts w:ascii="Times New Roman"/>
          <w:b w:val="false"/>
          <w:i w:val="false"/>
          <w:color w:val="000000"/>
          <w:sz w:val="24"/>
          <w:lang w:val="pl-PL"/>
        </w:rPr>
        <w:t xml:space="preserve">, </w:t>
      </w:r>
      <w:r>
        <w:rPr>
          <w:rFonts w:ascii="Times New Roman"/>
          <w:b w:val="false"/>
          <w:i w:val="false"/>
          <w:color w:val="1b1b1b"/>
          <w:sz w:val="24"/>
          <w:lang w:val="pl-PL"/>
        </w:rPr>
        <w:t>1b</w:t>
      </w:r>
      <w:r>
        <w:rPr>
          <w:rFonts w:ascii="Times New Roman"/>
          <w:b w:val="false"/>
          <w:i w:val="false"/>
          <w:color w:val="000000"/>
          <w:sz w:val="24"/>
          <w:lang w:val="pl-PL"/>
        </w:rPr>
        <w:t xml:space="preserve">, </w:t>
      </w:r>
      <w:r>
        <w:rPr>
          <w:rFonts w:ascii="Times New Roman"/>
          <w:b w:val="false"/>
          <w:i w:val="false"/>
          <w:color w:val="1b1b1b"/>
          <w:sz w:val="24"/>
          <w:lang w:val="pl-PL"/>
        </w:rPr>
        <w:t>1f</w:t>
      </w:r>
      <w:r>
        <w:rPr>
          <w:rFonts w:ascii="Times New Roman"/>
          <w:b w:val="false"/>
          <w:i w:val="false"/>
          <w:color w:val="000000"/>
          <w:sz w:val="24"/>
          <w:lang w:val="pl-PL"/>
        </w:rPr>
        <w:t xml:space="preserve">, </w:t>
      </w:r>
      <w:r>
        <w:rPr>
          <w:rFonts w:ascii="Times New Roman"/>
          <w:b w:val="false"/>
          <w:i w:val="false"/>
          <w:color w:val="1b1b1b"/>
          <w:sz w:val="24"/>
          <w:lang w:val="pl-PL"/>
        </w:rPr>
        <w:t>1g</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tej ustawy, może dołączyć do zgłoszenia ich kopie podpisane w sposób określony w </w:t>
      </w:r>
      <w:r>
        <w:rPr>
          <w:rFonts w:ascii="Times New Roman"/>
          <w:b w:val="false"/>
          <w:i w:val="false"/>
          <w:color w:val="1b1b1b"/>
          <w:sz w:val="24"/>
          <w:lang w:val="pl-PL"/>
        </w:rPr>
        <w:t>ust. 3a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wypisów lub wyciągów z aktów notarialnych umieszczonych w Repozytorium zgłaszający wskazuje numer dokumentu w Repozytorium.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zgłoszenia dołącza się oświadczenie, że dołączone do zgłoszenia dokumenty spełniają wymogi określone w </w:t>
      </w:r>
      <w:r>
        <w:rPr>
          <w:rFonts w:ascii="Times New Roman"/>
          <w:b w:val="false"/>
          <w:i w:val="false"/>
          <w:color w:val="1b1b1b"/>
          <w:sz w:val="24"/>
          <w:lang w:val="pl-PL"/>
        </w:rPr>
        <w:t>ustawie</w:t>
      </w:r>
      <w:r>
        <w:rPr>
          <w:rFonts w:ascii="Times New Roman"/>
          <w:b w:val="false"/>
          <w:i w:val="false"/>
          <w:color w:val="000000"/>
          <w:sz w:val="24"/>
          <w:lang w:val="pl-PL"/>
        </w:rPr>
        <w:t xml:space="preserve"> z dnia 29 września 1994 r. o rachunkowości.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podlega automatycznej weryfikacji za pośrednictwem systemu teleinformatycznego w zakresie określonym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W przypadku negatywnej weryfikacji wnioskodawca może złożyć dokumenty,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wyłącznie za pośrednictwem systemu teleinformatycznego, wraz z wnioskiem o wpis w rejestrze przedsiębiorców wzmianek, o których mowa w </w:t>
      </w:r>
      <w:r>
        <w:rPr>
          <w:rFonts w:ascii="Times New Roman"/>
          <w:b w:val="false"/>
          <w:i w:val="false"/>
          <w:color w:val="1b1b1b"/>
          <w:sz w:val="24"/>
          <w:lang w:val="pl-PL"/>
        </w:rPr>
        <w:t>art. 40 pkt 2-5d</w:t>
      </w:r>
      <w:r>
        <w:rPr>
          <w:rFonts w:ascii="Times New Roman"/>
          <w:b w:val="false"/>
          <w:i w:val="false"/>
          <w:color w:val="000000"/>
          <w:sz w:val="24"/>
          <w:lang w:val="pl-PL"/>
        </w:rPr>
        <w:t>, albo z wnioskiem o przyjęcie tych dokumentów do repozytorium dokumentów finansowych.</w:t>
      </w:r>
    </w:p>
    <w:p>
      <w:pPr>
        <w:spacing w:before="26" w:after="0"/>
        <w:ind w:left="0"/>
        <w:jc w:val="left"/>
        <w:textAlignment w:val="auto"/>
      </w:pPr>
      <w:r>
        <w:rPr>
          <w:rFonts w:ascii="Times New Roman"/>
          <w:b w:val="false"/>
          <w:i w:val="false"/>
          <w:color w:val="000000"/>
          <w:sz w:val="24"/>
          <w:lang w:val="pl-PL"/>
        </w:rPr>
        <w:t>7a.</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wniosku, o którym mowa w </w:t>
      </w:r>
      <w:r>
        <w:rPr>
          <w:rFonts w:ascii="Times New Roman"/>
          <w:b w:val="false"/>
          <w:i w:val="false"/>
          <w:color w:val="1b1b1b"/>
          <w:sz w:val="24"/>
          <w:lang w:val="pl-PL"/>
        </w:rPr>
        <w:t>ust. 7</w:t>
      </w:r>
      <w:r>
        <w:rPr>
          <w:rFonts w:ascii="Times New Roman"/>
          <w:b w:val="false"/>
          <w:i w:val="false"/>
          <w:color w:val="000000"/>
          <w:sz w:val="24"/>
          <w:lang w:val="pl-PL"/>
        </w:rPr>
        <w:t xml:space="preserve">, można dołączyć kopie uchwały bądź postanowienia o zatwierdzeniu rocznego sprawozdania finansowego i rocznego skonsolidowanego sprawozdania finansowego grupy kapitałowej oraz podziale zysku lub pokryciu straty, jak również dokumentów, o których mowa w </w:t>
      </w:r>
      <w:r>
        <w:rPr>
          <w:rFonts w:ascii="Times New Roman"/>
          <w:b w:val="false"/>
          <w:i w:val="false"/>
          <w:color w:val="1b1b1b"/>
          <w:sz w:val="24"/>
          <w:lang w:val="pl-PL"/>
        </w:rPr>
        <w:t>art. 69 ust. 1c</w:t>
      </w:r>
      <w:r>
        <w:rPr>
          <w:rFonts w:ascii="Times New Roman"/>
          <w:b w:val="false"/>
          <w:i w:val="false"/>
          <w:color w:val="000000"/>
          <w:sz w:val="24"/>
          <w:lang w:val="pl-PL"/>
        </w:rPr>
        <w:t xml:space="preserve">, </w:t>
      </w:r>
      <w:r>
        <w:rPr>
          <w:rFonts w:ascii="Times New Roman"/>
          <w:b w:val="false"/>
          <w:i w:val="false"/>
          <w:color w:val="1b1b1b"/>
          <w:sz w:val="24"/>
          <w:lang w:val="pl-PL"/>
        </w:rPr>
        <w:t>1d</w:t>
      </w:r>
      <w:r>
        <w:rPr>
          <w:rFonts w:ascii="Times New Roman"/>
          <w:b w:val="false"/>
          <w:i w:val="false"/>
          <w:color w:val="000000"/>
          <w:sz w:val="24"/>
          <w:lang w:val="pl-PL"/>
        </w:rPr>
        <w:t xml:space="preserve">, </w:t>
      </w:r>
      <w:r>
        <w:rPr>
          <w:rFonts w:ascii="Times New Roman"/>
          <w:b w:val="false"/>
          <w:i w:val="false"/>
          <w:color w:val="1b1b1b"/>
          <w:sz w:val="24"/>
          <w:lang w:val="pl-PL"/>
        </w:rPr>
        <w:t>3a</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ustawy z dnia 29 września 1994 r. o rachunkowości, a także sporządzonych do dnia 30 września 2018 r. innych dokumentów, o których mowa w </w:t>
      </w:r>
      <w:r>
        <w:rPr>
          <w:rFonts w:ascii="Times New Roman"/>
          <w:b w:val="false"/>
          <w:i w:val="false"/>
          <w:color w:val="1b1b1b"/>
          <w:sz w:val="24"/>
          <w:lang w:val="pl-PL"/>
        </w:rPr>
        <w:t>art. 69 ust. 1</w:t>
      </w:r>
      <w:r>
        <w:rPr>
          <w:rFonts w:ascii="Times New Roman"/>
          <w:b w:val="false"/>
          <w:i w:val="false"/>
          <w:color w:val="000000"/>
          <w:sz w:val="24"/>
          <w:lang w:val="pl-PL"/>
        </w:rPr>
        <w:t xml:space="preserve">, </w:t>
      </w:r>
      <w:r>
        <w:rPr>
          <w:rFonts w:ascii="Times New Roman"/>
          <w:b w:val="false"/>
          <w:i w:val="false"/>
          <w:color w:val="1b1b1b"/>
          <w:sz w:val="24"/>
          <w:lang w:val="pl-PL"/>
        </w:rPr>
        <w:t>1b</w:t>
      </w:r>
      <w:r>
        <w:rPr>
          <w:rFonts w:ascii="Times New Roman"/>
          <w:b w:val="false"/>
          <w:i w:val="false"/>
          <w:color w:val="000000"/>
          <w:sz w:val="24"/>
          <w:lang w:val="pl-PL"/>
        </w:rPr>
        <w:t xml:space="preserve">, </w:t>
      </w:r>
      <w:r>
        <w:rPr>
          <w:rFonts w:ascii="Times New Roman"/>
          <w:b w:val="false"/>
          <w:i w:val="false"/>
          <w:color w:val="1b1b1b"/>
          <w:sz w:val="24"/>
          <w:lang w:val="pl-PL"/>
        </w:rPr>
        <w:t>1f</w:t>
      </w:r>
      <w:r>
        <w:rPr>
          <w:rFonts w:ascii="Times New Roman"/>
          <w:b w:val="false"/>
          <w:i w:val="false"/>
          <w:color w:val="000000"/>
          <w:sz w:val="24"/>
          <w:lang w:val="pl-PL"/>
        </w:rPr>
        <w:t xml:space="preserve">, </w:t>
      </w:r>
      <w:r>
        <w:rPr>
          <w:rFonts w:ascii="Times New Roman"/>
          <w:b w:val="false"/>
          <w:i w:val="false"/>
          <w:color w:val="1b1b1b"/>
          <w:sz w:val="24"/>
          <w:lang w:val="pl-PL"/>
        </w:rPr>
        <w:t>1g</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tej ustawy, podpisane kwalifikowanym podpisem elektronicznym, podpisem zaufanym albo podpisem osobistym przez osoby wymienione w </w:t>
      </w:r>
      <w:r>
        <w:rPr>
          <w:rFonts w:ascii="Times New Roman"/>
          <w:b w:val="false"/>
          <w:i w:val="false"/>
          <w:color w:val="1b1b1b"/>
          <w:sz w:val="24"/>
          <w:lang w:val="pl-PL"/>
        </w:rPr>
        <w:t>ust. 2</w:t>
      </w:r>
      <w:r>
        <w:rPr>
          <w:rFonts w:ascii="Times New Roman"/>
          <w:b w:val="false"/>
          <w:i w:val="false"/>
          <w:color w:val="000000"/>
          <w:sz w:val="24"/>
          <w:lang w:val="pl-PL"/>
        </w:rPr>
        <w:t xml:space="preserve"> albo występującego w sprawie pełnomocnika będącego adwokatem, radcą prawnym lub prawnikiem zagranicznym.</w:t>
      </w:r>
    </w:p>
    <w:p>
      <w:pPr>
        <w:spacing w:before="26" w:after="0"/>
        <w:ind w:left="0"/>
        <w:jc w:val="left"/>
        <w:textAlignment w:val="auto"/>
      </w:pPr>
      <w:r>
        <w:rPr>
          <w:rFonts w:ascii="Times New Roman"/>
          <w:b w:val="false"/>
          <w:i w:val="false"/>
          <w:color w:val="000000"/>
          <w:sz w:val="24"/>
          <w:lang w:val="pl-PL"/>
        </w:rPr>
        <w:t>7b.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określonym w </w:t>
      </w:r>
      <w:r>
        <w:rPr>
          <w:rFonts w:ascii="Times New Roman"/>
          <w:b w:val="false"/>
          <w:i w:val="false"/>
          <w:color w:val="1b1b1b"/>
          <w:sz w:val="24"/>
          <w:lang w:val="pl-PL"/>
        </w:rPr>
        <w:t>ust. 3a</w:t>
      </w:r>
      <w:r>
        <w:rPr>
          <w:rFonts w:ascii="Times New Roman"/>
          <w:b w:val="false"/>
          <w:i w:val="false"/>
          <w:color w:val="000000"/>
          <w:sz w:val="24"/>
          <w:lang w:val="pl-PL"/>
        </w:rPr>
        <w:t xml:space="preserve"> zgłoszenie podlega automatycznej weryfikacji za pośrednictwem systemu teleinformatycznego także w zakresie statusu zgłaszającego jako adwokata, radcy prawnego i prawnika zagranicznego. W przypadku negatywnej weryfikacji statusu, przepisy </w:t>
      </w:r>
      <w:r>
        <w:rPr>
          <w:rFonts w:ascii="Times New Roman"/>
          <w:b w:val="false"/>
          <w:i w:val="false"/>
          <w:color w:val="1b1b1b"/>
          <w:sz w:val="24"/>
          <w:lang w:val="pl-PL"/>
        </w:rPr>
        <w:t>ust. 7</w:t>
      </w:r>
      <w:r>
        <w:rPr>
          <w:rFonts w:ascii="Times New Roman"/>
          <w:b w:val="false"/>
          <w:i w:val="false"/>
          <w:color w:val="000000"/>
          <w:sz w:val="24"/>
          <w:lang w:val="pl-PL"/>
        </w:rPr>
        <w:t xml:space="preserve"> zdanie drugie i </w:t>
      </w:r>
      <w:r>
        <w:rPr>
          <w:rFonts w:ascii="Times New Roman"/>
          <w:b w:val="false"/>
          <w:i w:val="false"/>
          <w:color w:val="1b1b1b"/>
          <w:sz w:val="24"/>
          <w:lang w:val="pl-PL"/>
        </w:rPr>
        <w:t>ust. 7a</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złożenia oświadczenia, o którym mowa w </w:t>
      </w:r>
      <w:r>
        <w:rPr>
          <w:rFonts w:ascii="Times New Roman"/>
          <w:b w:val="false"/>
          <w:i w:val="false"/>
          <w:color w:val="1b1b1b"/>
          <w:sz w:val="24"/>
          <w:lang w:val="pl-PL"/>
        </w:rPr>
        <w:t>art. 70a</w:t>
      </w:r>
      <w:r>
        <w:rPr>
          <w:rFonts w:ascii="Times New Roman"/>
          <w:b w:val="false"/>
          <w:i w:val="false"/>
          <w:color w:val="000000"/>
          <w:sz w:val="24"/>
          <w:lang w:val="pl-PL"/>
        </w:rPr>
        <w:t xml:space="preserve"> ustawy z dnia 29 września 1994 r. o rachunkowości, stosuje się odpowiednio przepisy </w:t>
      </w:r>
      <w:r>
        <w:rPr>
          <w:rFonts w:ascii="Times New Roman"/>
          <w:b w:val="false"/>
          <w:i w:val="false"/>
          <w:color w:val="1b1b1b"/>
          <w:sz w:val="24"/>
          <w:lang w:val="pl-PL"/>
        </w:rPr>
        <w:t>ust.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1-8</w:t>
      </w:r>
      <w:r>
        <w:rPr>
          <w:rFonts w:ascii="Times New Roman"/>
          <w:b w:val="false"/>
          <w:i w:val="false"/>
          <w:color w:val="000000"/>
          <w:sz w:val="24"/>
          <w:lang w:val="pl-PL"/>
        </w:rPr>
        <w:t xml:space="preserve">, są wykonywane w systemie teleinformatycznym za pośrednictwem konta, o którym mowa w </w:t>
      </w:r>
      <w:r>
        <w:rPr>
          <w:rFonts w:ascii="Times New Roman"/>
          <w:b w:val="false"/>
          <w:i w:val="false"/>
          <w:color w:val="1b1b1b"/>
          <w:sz w:val="24"/>
          <w:lang w:val="pl-PL"/>
        </w:rPr>
        <w:t>art. 53d</w:t>
      </w:r>
      <w:r>
        <w:rPr>
          <w:rFonts w:ascii="Times New Roman"/>
          <w:b w:val="false"/>
          <w:i w:val="false"/>
          <w:color w:val="000000"/>
          <w:sz w:val="24"/>
          <w:lang w:val="pl-PL"/>
        </w:rPr>
        <w:t xml:space="preserve"> ustawy z dnia 27 lipca 2001 r. - Prawo o ustroju sądów powszechnych (Dz. U. z 2024 r. poz. 334 i 1907 oraz z 2025 r. poz. 526).</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określi, w drodze rozporządzenia, sposób składania zgłoszeń,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sposób i tryb komunikacji ze zgłaszającym oraz sposób i tryb weryfikacji dokumentów dołączanych do zgłoszenia, mając na względzie zapewnienie identyfikacji zgłaszającego oraz konieczność zagwarantowania kompletności dokumentów dołączanych do zgłoszenia.</w:t>
      </w:r>
    </w:p>
    <w:p>
      <w:pPr>
        <w:spacing w:before="80" w:after="0"/>
        <w:ind w:left="0"/>
        <w:jc w:val="left"/>
        <w:textAlignment w:val="auto"/>
      </w:pPr>
      <w:r>
        <w:rPr>
          <w:rFonts w:ascii="Times New Roman"/>
          <w:b/>
          <w:i w:val="false"/>
          <w:color w:val="000000"/>
          <w:sz w:val="24"/>
          <w:lang w:val="pl-PL"/>
        </w:rPr>
        <w:t xml:space="preserve"> Art. 19f.</w:t>
      </w:r>
      <w:r>
        <w:rPr>
          <w:rFonts w:ascii="Times New Roman"/>
          <w:b/>
          <w:i w:val="false"/>
          <w:color w:val="000000"/>
          <w:sz w:val="24"/>
          <w:lang w:val="pl-PL"/>
        </w:rPr>
        <w:t xml:space="preserve"> [Złożenie oświadczenia o posiadaniu adresu do doręczeń elektronicznych lub podanie danych niezbędnych do jego założenia lub wpisu do bazy adresów elektronicznych]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Składając za pośrednictwem systemu teleinformatycznego wniosek o wpis do rejestru, o którym mowa w </w:t>
      </w:r>
      <w:r>
        <w:rPr>
          <w:rFonts w:ascii="Times New Roman"/>
          <w:b w:val="false"/>
          <w:i w:val="false"/>
          <w:color w:val="1b1b1b"/>
          <w:sz w:val="24"/>
          <w:lang w:val="pl-PL"/>
        </w:rPr>
        <w:t>art. 1 ust. 2 pkt 1</w:t>
      </w:r>
      <w:r>
        <w:rPr>
          <w:rFonts w:ascii="Times New Roman"/>
          <w:b w:val="false"/>
          <w:i w:val="false"/>
          <w:color w:val="000000"/>
          <w:sz w:val="24"/>
          <w:lang w:val="pl-PL"/>
        </w:rPr>
        <w:t xml:space="preserve">, wnioskodawca wskazuje, a w przypadku wniosku o wpis do rejestru, o którym mowa w </w:t>
      </w:r>
      <w:r>
        <w:rPr>
          <w:rFonts w:ascii="Times New Roman"/>
          <w:b w:val="false"/>
          <w:i w:val="false"/>
          <w:color w:val="1b1b1b"/>
          <w:sz w:val="24"/>
          <w:lang w:val="pl-PL"/>
        </w:rPr>
        <w:t>art. 1 ust. 2 pkt 2</w:t>
      </w:r>
      <w:r>
        <w:rPr>
          <w:rFonts w:ascii="Times New Roman"/>
          <w:b w:val="false"/>
          <w:i w:val="false"/>
          <w:color w:val="000000"/>
          <w:sz w:val="24"/>
          <w:lang w:val="pl-PL"/>
        </w:rPr>
        <w:t xml:space="preserve">, może wskazać, następujące dane niezbędne do utworzenia adresu do doręczeń elektronicznych, o którym mowa w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18 listopada 2020 r. o doręczeniach elektronicznych (Dz. U. z 2024 r. poz. 1045 i 1841), zwanego dalej "adresem do doręczeń elektronicznych", bądź wpisu adresu do doręczeń elektronicznych powiązanego z kwalifikowaną usługą rejestrowanego doręczenia elektronicznego do bazy adresów elektronicznych, o której mowa w </w:t>
      </w:r>
      <w:r>
        <w:rPr>
          <w:rFonts w:ascii="Times New Roman"/>
          <w:b w:val="false"/>
          <w:i w:val="false"/>
          <w:color w:val="1b1b1b"/>
          <w:sz w:val="24"/>
          <w:lang w:val="pl-PL"/>
        </w:rPr>
        <w:t>art. 25</w:t>
      </w:r>
      <w:r>
        <w:rPr>
          <w:rFonts w:ascii="Times New Roman"/>
          <w:b w:val="false"/>
          <w:i w:val="false"/>
          <w:color w:val="000000"/>
          <w:sz w:val="24"/>
          <w:lang w:val="pl-PL"/>
        </w:rPr>
        <w:t xml:space="preserve"> tej ustawy, zwanej dalej "bazą adresów elektronicznych":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adres do korespondencji;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imię i nazwisko administratora skrzynki doręczeń, o której mowa w </w:t>
      </w:r>
      <w:r>
        <w:rPr>
          <w:rFonts w:ascii="Times New Roman"/>
          <w:b w:val="false"/>
          <w:i w:val="false"/>
          <w:color w:val="1b1b1b"/>
          <w:sz w:val="24"/>
          <w:lang w:val="pl-PL"/>
        </w:rPr>
        <w:t>art. 2 pkt 9</w:t>
      </w:r>
      <w:r>
        <w:rPr>
          <w:rFonts w:ascii="Times New Roman"/>
          <w:b w:val="false"/>
          <w:i w:val="false"/>
          <w:color w:val="000000"/>
          <w:sz w:val="24"/>
          <w:lang w:val="pl-PL"/>
        </w:rPr>
        <w:t xml:space="preserve"> ustawy z dnia 18 listopada 2020 r. o doręczeniach elektronicznych, jego adres poczty elektronicznej oraz numer PESEL, a jeżeli nie został nadany - niepowtarzalny identyfikator nadany przez państwo członkowskie Unii Europejskiej dla celów transgranicznej identyfikacji, o którym mowa w </w:t>
      </w:r>
      <w:r>
        <w:rPr>
          <w:rFonts w:ascii="Times New Roman"/>
          <w:b w:val="false"/>
          <w:i w:val="false"/>
          <w:color w:val="1b1b1b"/>
          <w:sz w:val="24"/>
          <w:lang w:val="pl-PL"/>
        </w:rPr>
        <w:t>rozporządzeniu</w:t>
      </w:r>
      <w:r>
        <w:rPr>
          <w:rFonts w:ascii="Times New Roman"/>
          <w:b w:val="false"/>
          <w:i w:val="false"/>
          <w:color w:val="000000"/>
          <w:sz w:val="24"/>
          <w:lang w:val="pl-PL"/>
        </w:rPr>
        <w:t xml:space="preserve"> wykonawczym Komisji (UE) 2015/1501 z dnia 8 września 2015 r. w sprawie ram interoperacyjności na podstawie art. 12 ust. 8 rozporządzenia Parlamentu Europejskiego i Rady (UE) nr 910/2014 w sprawie identyfikacji elektronicznej i usług zaufania w odniesieniu do transakcji elektronicznych na rynku wewnętrznym (Dz. Urz. UE L 235 z 09.09.2015, str. 1, z późn. zm.) - w przypadku zgłoszenia dotyczącego adresu do doręczeń elektronicznych powiązanego z publiczną usługą rejestrowanego doręczenia elektronicznego;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adres do doręczeń elektronicznych powiązany z kwalifikowaną usługą rejestrowanego doręczenia elektronicznego oraz oznaczenie dostawcy kwalifikowanej usługi rejestrowanego doręczenia elektronicznego - w przypadku gdy wpis do bazy adresów elektronicznych dotyczy adresu do doręczeń elektronicznych powiązanego z kwalifikowaną usługą rejestrowanego doręczenia elektronicznego.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wnioskodawca składający wniosek o wpis do rejestru, o którym mowa w </w:t>
      </w:r>
      <w:r>
        <w:rPr>
          <w:rFonts w:ascii="Times New Roman"/>
          <w:b w:val="false"/>
          <w:i w:val="false"/>
          <w:color w:val="1b1b1b"/>
          <w:sz w:val="24"/>
          <w:lang w:val="pl-PL"/>
        </w:rPr>
        <w:t>art. 1 ust. 2 pkt 1</w:t>
      </w:r>
      <w:r>
        <w:rPr>
          <w:rFonts w:ascii="Times New Roman"/>
          <w:b w:val="false"/>
          <w:i w:val="false"/>
          <w:color w:val="000000"/>
          <w:sz w:val="24"/>
          <w:lang w:val="pl-PL"/>
        </w:rPr>
        <w:t xml:space="preserve">, posiada adres do doręczeń elektronicznych wpisany do bazy adresów elektronicznych oraz dane,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są aktualne, 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W takim przypadku wnioskodawca składa za pośrednictwem systemu teleinformatycznego oświadczenie o posiadaniu adresu do doręczeń elektronicznych wpisanego do bazy adresów elektronicznych i aktualności danych zamieszczonych w bazie adresów elektronicznych.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których mowa w </w:t>
      </w:r>
      <w:r>
        <w:rPr>
          <w:rFonts w:ascii="Times New Roman"/>
          <w:b w:val="false"/>
          <w:i w:val="false"/>
          <w:color w:val="1b1b1b"/>
          <w:sz w:val="24"/>
          <w:lang w:val="pl-PL"/>
        </w:rPr>
        <w:t>ust. 1</w:t>
      </w:r>
      <w:r>
        <w:rPr>
          <w:rFonts w:ascii="Times New Roman"/>
          <w:b w:val="false"/>
          <w:i w:val="false"/>
          <w:color w:val="000000"/>
          <w:sz w:val="24"/>
          <w:lang w:val="pl-PL"/>
        </w:rPr>
        <w:t>, są przekazywane do ministra właściwego do spraw informatyzacji za pośrednictwem systemu teleinformatycznego po dokonaniu wpisu w Rejestrze.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ust. 1-3</w:t>
      </w:r>
      <w:r>
        <w:rPr>
          <w:rFonts w:ascii="Times New Roman"/>
          <w:b w:val="false"/>
          <w:i w:val="false"/>
          <w:color w:val="000000"/>
          <w:sz w:val="24"/>
          <w:lang w:val="pl-PL"/>
        </w:rPr>
        <w:t xml:space="preserve"> stosuje się do aktualizacji danych,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wniosku,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wnioskodawca może dołączyć oświadczenie o rezygnacji z publicznej usługi rejestrowanego doręczenia elektronicznego. Przepis </w:t>
      </w:r>
      <w:r>
        <w:rPr>
          <w:rFonts w:ascii="Times New Roman"/>
          <w:b w:val="false"/>
          <w:i w:val="false"/>
          <w:color w:val="1b1b1b"/>
          <w:sz w:val="24"/>
          <w:lang w:val="pl-PL"/>
        </w:rPr>
        <w:t>ust. 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[Dokonanie wpisu w Rejestrze]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Wpis do Rejestru polega na wprowadzeniu do systemu teleinformatycznego danych zawartych w postanowieniu sądu rejestrowego niezwłocznie po jego wydaniu.</w:t>
      </w:r>
    </w:p>
    <w:p>
      <w:pPr>
        <w:spacing w:before="26" w:after="0"/>
        <w:ind w:left="0"/>
        <w:jc w:val="left"/>
        <w:textAlignment w:val="auto"/>
      </w:pPr>
      <w:r>
        <w:rPr>
          <w:rFonts w:ascii="Times New Roman"/>
          <w:b w:val="false"/>
          <w:i w:val="false"/>
          <w:color w:val="000000"/>
          <w:sz w:val="24"/>
          <w:lang w:val="pl-PL"/>
        </w:rPr>
        <w:t xml:space="preserve">1a. </w:t>
      </w:r>
      <w:r>
        <w:rPr>
          <w:rFonts w:ascii="Times New Roman"/>
          <w:b w:val="false"/>
          <w:i w:val="false"/>
          <w:color w:val="000000"/>
          <w:sz w:val="24"/>
          <w:vertAlign w:val="superscript"/>
          <w:lang w:val="pl-PL"/>
        </w:rPr>
        <w:t>27</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 w przedmiocie NIP i numeru identyfikacyjnego REGON polega również na ich automatycznym zamieszczeniu w Rejestrze po przekazaniu z Centralnego Rejestru Podmiotów - Krajowej Ewidencji Podatników i z rejestru REGON w rozumieniu </w:t>
      </w:r>
      <w:r>
        <w:rPr>
          <w:rFonts w:ascii="Times New Roman"/>
          <w:b w:val="false"/>
          <w:i w:val="false"/>
          <w:color w:val="1b1b1b"/>
          <w:sz w:val="24"/>
          <w:lang w:val="pl-PL"/>
        </w:rPr>
        <w:t>art. 2 pkt 12a</w:t>
      </w:r>
      <w:r>
        <w:rPr>
          <w:rFonts w:ascii="Times New Roman"/>
          <w:b w:val="false"/>
          <w:i w:val="false"/>
          <w:color w:val="000000"/>
          <w:sz w:val="24"/>
          <w:lang w:val="pl-PL"/>
        </w:rPr>
        <w:t xml:space="preserve"> ustawy z dnia 29 czerwca 1995 r. o statystyce publicznej (Dz. U. z 2024 r. poz. 1799 oraz z 2025 r. poz. 1792), zwanego dalej "rejestrem REGON".</w:t>
      </w:r>
    </w:p>
    <w:p>
      <w:pPr>
        <w:spacing w:before="26" w:after="0"/>
        <w:ind w:left="0"/>
        <w:jc w:val="left"/>
        <w:textAlignment w:val="auto"/>
      </w:pPr>
      <w:r>
        <w:rPr>
          <w:rFonts w:ascii="Times New Roman"/>
          <w:b w:val="false"/>
          <w:i w:val="false"/>
          <w:color w:val="000000"/>
          <w:sz w:val="24"/>
          <w:lang w:val="pl-PL"/>
        </w:rPr>
        <w:t>1aa.</w:t>
      </w:r>
      <w:r>
        <w:rPr>
          <w:rFonts w:ascii="Times New Roman"/>
          <w:b w:val="false"/>
          <w:i w:val="false"/>
          <w:color w:val="000000"/>
          <w:sz w:val="24"/>
          <w:lang w:val="pl-PL"/>
        </w:rPr>
        <w:t xml:space="preserve"> </w:t>
      </w:r>
      <w:r>
        <w:rPr>
          <w:rFonts w:ascii="Times New Roman"/>
          <w:b w:val="false"/>
          <w:i w:val="false"/>
          <w:color w:val="000000"/>
          <w:sz w:val="24"/>
          <w:lang w:val="pl-PL"/>
        </w:rPr>
        <w:t>Wpis w przedmiocie adresu do doręczeń elektronicznych wpisanego do bazy adresów elektronicznych polega na jego automatycznym zamieszczeniu w Rejestrze po przekazaniu danych z bazy adresów elektronicznych.</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Wpis jest dokonany z chwilą zamieszczenia danych w Rejestrze.</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Po dokonaniu wpisu podmiotu do Rejestru, zmiany jego danych lub wykreślenia podmiotu z Rejestru, z wyłączeniem rejestru dłużników niewypłacalnych, dane objęte treścią wpisu są przekazywane za pośrednictwem systemu teleinformatycznego do: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Centralnego Rejestru Podmiotów - Krajowej Ewidencji Podatników;</w:t>
      </w:r>
    </w:p>
    <w:p>
      <w:pPr>
        <w:spacing w:before="26" w:after="0"/>
        <w:ind w:left="373"/>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28</w:t>
      </w:r>
      <w:r>
        <w:rPr>
          <w:rFonts w:ascii="Times New Roman"/>
          <w:b w:val="false"/>
          <w:i w:val="false"/>
          <w:color w:val="000000"/>
          <w:sz w:val="24"/>
          <w:lang w:val="pl-PL"/>
        </w:rPr>
        <w:t xml:space="preserve"> </w:t>
      </w:r>
      <w:r>
        <w:rPr>
          <w:rFonts w:ascii="Times New Roman"/>
          <w:b w:val="false"/>
          <w:i w:val="false"/>
          <w:color w:val="000000"/>
          <w:sz w:val="24"/>
          <w:lang w:val="pl-PL"/>
        </w:rPr>
        <w:t>rejestru REGON;</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ministra właściwego do spraw informatyzacji w celu dokonania wpisu adresu do doręczeń elektronicznych do bazy adresów elektronicznych lub dokonania aktualizacji danych.</w:t>
      </w:r>
    </w:p>
    <w:p>
      <w:pPr>
        <w:spacing w:before="26" w:after="0"/>
        <w:ind w:left="0"/>
        <w:jc w:val="left"/>
        <w:textAlignment w:val="auto"/>
      </w:pPr>
      <w:r>
        <w:rPr>
          <w:rFonts w:ascii="Times New Roman"/>
          <w:b w:val="false"/>
          <w:i w:val="false"/>
          <w:color w:val="000000"/>
          <w:sz w:val="24"/>
          <w:lang w:val="pl-PL"/>
        </w:rPr>
        <w:t xml:space="preserve">1d. </w:t>
      </w:r>
      <w:r>
        <w:rPr>
          <w:rFonts w:ascii="Times New Roman"/>
          <w:b w:val="false"/>
          <w:i w:val="false"/>
          <w:color w:val="000000"/>
          <w:sz w:val="24"/>
          <w:vertAlign w:val="superscript"/>
          <w:lang w:val="pl-PL"/>
        </w:rPr>
        <w:t>29</w:t>
      </w:r>
      <w:r>
        <w:rPr>
          <w:rFonts w:ascii="Times New Roman"/>
          <w:b w:val="false"/>
          <w:i w:val="false"/>
          <w:color w:val="000000"/>
          <w:sz w:val="24"/>
          <w:lang w:val="pl-PL"/>
        </w:rPr>
        <w:t xml:space="preserve"> </w:t>
      </w:r>
      <w:r>
        <w:rPr>
          <w:rFonts w:ascii="Times New Roman"/>
          <w:b w:val="false"/>
          <w:i w:val="false"/>
          <w:color w:val="000000"/>
          <w:sz w:val="24"/>
          <w:lang w:val="pl-PL"/>
        </w:rPr>
        <w:t>Wpis NIP i numeru identyfikacyjnego REGON oraz adresu do doręczeń elektronicznych do Rejestru nie podlega opłacie sądowej.</w:t>
      </w:r>
    </w:p>
    <w:p>
      <w:pPr>
        <w:spacing w:before="26" w:after="0"/>
        <w:ind w:left="0"/>
        <w:jc w:val="left"/>
        <w:textAlignment w:val="auto"/>
      </w:pPr>
      <w:r>
        <w:rPr>
          <w:rFonts w:ascii="Times New Roman"/>
          <w:b w:val="false"/>
          <w:i w:val="false"/>
          <w:color w:val="000000"/>
          <w:sz w:val="24"/>
          <w:lang w:val="pl-PL"/>
        </w:rPr>
        <w:t>1e.</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1f.</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pozytywnej weryfikacji w systemie teleinformatycznym zgłoszeń, o których mowa w </w:t>
      </w:r>
      <w:r>
        <w:rPr>
          <w:rFonts w:ascii="Times New Roman"/>
          <w:b w:val="false"/>
          <w:i w:val="false"/>
          <w:color w:val="1b1b1b"/>
          <w:sz w:val="24"/>
          <w:lang w:val="pl-PL"/>
        </w:rPr>
        <w:t>art. 19e ust. 1</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wpis polega na automatycznym zamieszczeniu w rejestrze przedsiębiorców wzmianek, o których mowa w </w:t>
      </w:r>
      <w:r>
        <w:rPr>
          <w:rFonts w:ascii="Times New Roman"/>
          <w:b w:val="false"/>
          <w:i w:val="false"/>
          <w:color w:val="1b1b1b"/>
          <w:sz w:val="24"/>
          <w:lang w:val="pl-PL"/>
        </w:rPr>
        <w:t>art. 40 pkt 2-5d</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1g.</w:t>
      </w:r>
      <w:r>
        <w:rPr>
          <w:rFonts w:ascii="Times New Roman"/>
          <w:b w:val="false"/>
          <w:i w:val="false"/>
          <w:color w:val="000000"/>
          <w:sz w:val="24"/>
          <w:lang w:val="pl-PL"/>
        </w:rPr>
        <w:t xml:space="preserve"> </w:t>
      </w:r>
      <w:r>
        <w:rPr>
          <w:rFonts w:ascii="Times New Roman"/>
          <w:b w:val="false"/>
          <w:i w:val="false"/>
          <w:color w:val="000000"/>
          <w:sz w:val="24"/>
          <w:lang w:val="pl-PL"/>
        </w:rPr>
        <w:t>Po zamieszczeniu w repozytorium dokumentów finansowych sprawozdania finansowego lub sprawozdania z badania są one przesyłane za pośrednictwem systemu teleinformatycznego do Centralnego Rejestru Danych Podatkowych.</w:t>
      </w:r>
    </w:p>
    <w:p>
      <w:pPr>
        <w:spacing w:before="26" w:after="0"/>
        <w:ind w:left="0"/>
        <w:jc w:val="left"/>
        <w:textAlignment w:val="auto"/>
      </w:pPr>
      <w:r>
        <w:rPr>
          <w:rFonts w:ascii="Times New Roman"/>
          <w:b w:val="false"/>
          <w:i w:val="false"/>
          <w:color w:val="000000"/>
          <w:sz w:val="24"/>
          <w:lang w:val="pl-PL"/>
        </w:rPr>
        <w:t>1h.</w:t>
      </w:r>
      <w:r>
        <w:rPr>
          <w:rFonts w:ascii="Times New Roman"/>
          <w:b w:val="false"/>
          <w:i w:val="false"/>
          <w:color w:val="000000"/>
          <w:sz w:val="24"/>
          <w:lang w:val="pl-PL"/>
        </w:rPr>
        <w:t xml:space="preserve"> </w:t>
      </w:r>
      <w:r>
        <w:rPr>
          <w:rFonts w:ascii="Times New Roman"/>
          <w:b w:val="false"/>
          <w:i w:val="false"/>
          <w:color w:val="000000"/>
          <w:sz w:val="24"/>
          <w:lang w:val="pl-PL"/>
        </w:rPr>
        <w:t>Wpis informacji o otwarciu likwidacji, zakończeniu likwidacji, ogłoszeniu upadłości, zakończeniu postępowania upadłościowego oraz o wykreśleniu przedsiębiorcy zagranicznego polega na ich automatycznym zamieszczeniu w Rejestrze po przekazaniu z właściwych rejestrów za pośrednictwem systemu integracji rejestrów.</w:t>
      </w:r>
    </w:p>
    <w:p>
      <w:pPr>
        <w:spacing w:before="26" w:after="0"/>
        <w:ind w:left="0"/>
        <w:jc w:val="left"/>
        <w:textAlignment w:val="auto"/>
      </w:pPr>
      <w:r>
        <w:rPr>
          <w:rFonts w:ascii="Times New Roman"/>
          <w:b w:val="false"/>
          <w:i w:val="false"/>
          <w:color w:val="000000"/>
          <w:sz w:val="24"/>
          <w:lang w:val="pl-PL"/>
        </w:rPr>
        <w:t xml:space="preserve">1i. </w:t>
      </w:r>
      <w:r>
        <w:rPr>
          <w:rFonts w:ascii="Times New Roman"/>
          <w:b w:val="false"/>
          <w:i w:val="false"/>
          <w:color w:val="000000"/>
          <w:sz w:val="24"/>
          <w:vertAlign w:val="superscript"/>
          <w:lang w:val="pl-PL"/>
        </w:rPr>
        <w:t>30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w których postanowienia sądu rejestrowego są skuteczne lub wykonalne z chwilą uprawomocnienia, wraz z wpisem, o którym mowa w </w:t>
      </w:r>
      <w:r>
        <w:rPr>
          <w:rFonts w:ascii="Times New Roman"/>
          <w:b w:val="false"/>
          <w:i w:val="false"/>
          <w:color w:val="1b1b1b"/>
          <w:sz w:val="24"/>
          <w:lang w:val="pl-PL"/>
        </w:rPr>
        <w:t>ust. 1</w:t>
      </w:r>
      <w:r>
        <w:rPr>
          <w:rFonts w:ascii="Times New Roman"/>
          <w:b w:val="false"/>
          <w:i w:val="false"/>
          <w:color w:val="000000"/>
          <w:sz w:val="24"/>
          <w:lang w:val="pl-PL"/>
        </w:rPr>
        <w:t>, zamieszcza się wzmiankę o jego nieprawomocności. Dane objęte treścią wpisu są przekazywane do Centralnego Rejestru Podmiotów - Krajowej Ewidencji Podatników i rejestru REGON po uprawomocnieniu się postanowienia sądu.</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Wpisy, o których mowa w </w:t>
      </w:r>
      <w:r>
        <w:rPr>
          <w:rFonts w:ascii="Times New Roman"/>
          <w:b w:val="false"/>
          <w:i w:val="false"/>
          <w:color w:val="1b1b1b"/>
          <w:sz w:val="24"/>
          <w:lang w:val="pl-PL"/>
        </w:rPr>
        <w:t>art. 41 pkt 1-3</w:t>
      </w:r>
      <w:r>
        <w:rPr>
          <w:rFonts w:ascii="Times New Roman"/>
          <w:b w:val="false"/>
          <w:i w:val="false"/>
          <w:color w:val="000000"/>
          <w:sz w:val="24"/>
          <w:lang w:val="pl-PL"/>
        </w:rPr>
        <w:t>, następują po uprawomocnieniu się postanowienia w przedmiocie wpisu.</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o których mowa w </w:t>
      </w:r>
      <w:r>
        <w:rPr>
          <w:rFonts w:ascii="Times New Roman"/>
          <w:b w:val="false"/>
          <w:i w:val="false"/>
          <w:color w:val="1b1b1b"/>
          <w:sz w:val="24"/>
          <w:lang w:val="pl-PL"/>
        </w:rPr>
        <w:t>ust. 2</w:t>
      </w:r>
      <w:r>
        <w:rPr>
          <w:rFonts w:ascii="Times New Roman"/>
          <w:b w:val="false"/>
          <w:i w:val="false"/>
          <w:color w:val="000000"/>
          <w:sz w:val="24"/>
          <w:lang w:val="pl-PL"/>
        </w:rPr>
        <w:t>, datę uprawomocnienia wpisuje się z urzędu.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Wpisem w Rejestrze jest również wykreślenie.</w:t>
      </w:r>
    </w:p>
    <w:p>
      <w:pPr>
        <w:spacing w:before="80" w:after="0"/>
        <w:ind w:left="0"/>
        <w:jc w:val="left"/>
        <w:textAlignment w:val="auto"/>
      </w:pPr>
      <w:r>
        <w:rPr>
          <w:rFonts w:ascii="Times New Roman"/>
          <w:b/>
          <w:i w:val="false"/>
          <w:color w:val="000000"/>
          <w:sz w:val="24"/>
          <w:lang w:val="pl-PL"/>
        </w:rPr>
        <w:t xml:space="preserve"> Art. 20a.</w:t>
      </w:r>
      <w:r>
        <w:rPr>
          <w:rFonts w:ascii="Times New Roman"/>
          <w:b/>
          <w:i w:val="false"/>
          <w:color w:val="000000"/>
          <w:sz w:val="24"/>
          <w:lang w:val="pl-PL"/>
        </w:rPr>
        <w:t xml:space="preserve"> [Termin rozpoznania wpisu do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Wniosek o wpis sąd rejestrowy rozpoznaje nie później niż w terminie 7 dni od daty jego wpływu do sądu.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Wniosek o wpis spółki, której umowa została zawarta przy wykorzystaniu wzorca umowy udostępnionego w systemie teleinformatycznym, sąd rejestrowy rozpoznaje w terminie jednego dnia od daty jego wpływu.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rozpoznanie wniosku,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wymaga wezwania do usunięcia przeszkody do dokonania wpisu, wniosek powinien być rozpoznany w terminie 7 dni od usunięcia przeszkody przez wnioskodawcę, co nie uchybia terminom określonym w przepisach szczególnych. Jeżeli rozpoznanie wniosku wymaga wysłuchania uczestników postępowania albo przeprowadzenia rozprawy, wniosek należy rozpoznać nie później niż w terminie miesiąca.</w:t>
      </w:r>
    </w:p>
    <w:p>
      <w:pPr>
        <w:spacing w:before="80" w:after="0"/>
        <w:ind w:left="0"/>
        <w:jc w:val="left"/>
        <w:textAlignment w:val="auto"/>
      </w:pPr>
      <w:r>
        <w:rPr>
          <w:rFonts w:ascii="Times New Roman"/>
          <w:b/>
          <w:i w:val="false"/>
          <w:color w:val="000000"/>
          <w:sz w:val="24"/>
          <w:lang w:val="pl-PL"/>
        </w:rPr>
        <w:t xml:space="preserve"> Art. 20b.</w:t>
      </w:r>
      <w:r>
        <w:rPr>
          <w:rFonts w:ascii="Times New Roman"/>
          <w:b/>
          <w:i w:val="false"/>
          <w:color w:val="000000"/>
          <w:sz w:val="24"/>
          <w:lang w:val="pl-PL"/>
        </w:rPr>
        <w:t xml:space="preserve"> [Uzależnienie wpisu do Rejestru od zgody na dokonanie koncentracji]</w:t>
      </w:r>
    </w:p>
    <w:p>
      <w:pPr>
        <w:spacing w:after="0"/>
        <w:ind w:left="0"/>
        <w:jc w:val="left"/>
        <w:textAlignment w:val="auto"/>
      </w:pPr>
      <w:r>
        <w:rPr>
          <w:rFonts w:ascii="Times New Roman"/>
          <w:b w:val="false"/>
          <w:i w:val="false"/>
          <w:color w:val="000000"/>
          <w:sz w:val="24"/>
          <w:lang w:val="pl-PL"/>
        </w:rPr>
        <w:t xml:space="preserve">W przypadku gdy wpis do rejestru uzależniony jest od zgody Prezesa Urzędu Ochrony Konkurencji i Konsumentów na dokonanie koncentracji, udzielonej na podstawie </w:t>
      </w:r>
      <w:r>
        <w:rPr>
          <w:rFonts w:ascii="Times New Roman"/>
          <w:b w:val="false"/>
          <w:i w:val="false"/>
          <w:color w:val="1b1b1b"/>
          <w:sz w:val="24"/>
          <w:lang w:val="pl-PL"/>
        </w:rPr>
        <w:t>przepisów</w:t>
      </w:r>
      <w:r>
        <w:rPr>
          <w:rFonts w:ascii="Times New Roman"/>
          <w:b w:val="false"/>
          <w:i w:val="false"/>
          <w:color w:val="000000"/>
          <w:sz w:val="24"/>
          <w:lang w:val="pl-PL"/>
        </w:rPr>
        <w:t xml:space="preserve"> o ochronie konkurencji i konsumentów, sąd wyda postanowienie o wpisie do rejestru, na podstawie decyzji Prezesa Urzędu Ochrony Konkurencji i Konsumentów o wydaniu zgody na dokonanie koncentracji albo, gdy przedsiębiorca złożył oświadczenie, pod rygorem odpowiedzialności karnej, że zamiar koncentracji nie podlegał obowiązkowi zgłoszenia.</w:t>
      </w:r>
    </w:p>
    <w:p>
      <w:pPr>
        <w:spacing w:before="80" w:after="0"/>
        <w:ind w:left="0"/>
        <w:jc w:val="left"/>
        <w:textAlignment w:val="auto"/>
      </w:pPr>
      <w:r>
        <w:rPr>
          <w:rFonts w:ascii="Times New Roman"/>
          <w:b/>
          <w:i w:val="false"/>
          <w:color w:val="000000"/>
          <w:sz w:val="24"/>
          <w:lang w:val="pl-PL"/>
        </w:rPr>
        <w:t xml:space="preserve"> Art. 20c.</w:t>
      </w:r>
      <w:r>
        <w:rPr>
          <w:rFonts w:ascii="Times New Roman"/>
          <w:b/>
          <w:i w:val="false"/>
          <w:color w:val="000000"/>
          <w:sz w:val="24"/>
          <w:lang w:val="pl-PL"/>
        </w:rPr>
        <w:t xml:space="preserve"> [Wpis do Rejestru informacji o zawieszeniu oraz wznowieniu wykonywania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33</w:t>
      </w:r>
      <w:r>
        <w:rPr>
          <w:rFonts w:ascii="Times New Roman"/>
          <w:b w:val="false"/>
          <w:i w:val="false"/>
          <w:color w:val="000000"/>
          <w:sz w:val="24"/>
          <w:lang w:val="pl-PL"/>
        </w:rPr>
        <w:t xml:space="preserve"> </w:t>
      </w:r>
      <w:r>
        <w:rPr>
          <w:rFonts w:ascii="Times New Roman"/>
          <w:b w:val="false"/>
          <w:i w:val="false"/>
          <w:color w:val="000000"/>
          <w:sz w:val="24"/>
          <w:lang w:val="pl-PL"/>
        </w:rPr>
        <w:t>Wniosek o wpis informacji o zawieszeniu wykonywania działalności gospodarczej oraz wniosek o wpis informacji o wznowieniu wykonywania działalności gospodarczej jest zwolniony z opłat sądowych.</w:t>
      </w:r>
    </w:p>
    <w:p>
      <w:pPr>
        <w:spacing w:before="80" w:after="0"/>
        <w:ind w:left="0"/>
        <w:jc w:val="left"/>
        <w:textAlignment w:val="auto"/>
      </w:pPr>
      <w:r>
        <w:rPr>
          <w:rFonts w:ascii="Times New Roman"/>
          <w:b/>
          <w:i w:val="false"/>
          <w:color w:val="000000"/>
          <w:sz w:val="24"/>
          <w:lang w:val="pl-PL"/>
        </w:rPr>
        <w:t xml:space="preserve"> Art. 20d.</w:t>
      </w:r>
      <w:r>
        <w:rPr>
          <w:rFonts w:ascii="Times New Roman"/>
          <w:b/>
          <w:i w:val="false"/>
          <w:color w:val="000000"/>
          <w:sz w:val="24"/>
          <w:lang w:val="pl-PL"/>
        </w:rPr>
        <w:t xml:space="preserve"> [Postępowanie przymuszające w przypadku niezłożenia wniosku o wpis informacji o wznowieniu wykonywania działalności gospodarczej]</w:t>
      </w:r>
    </w:p>
    <w:p>
      <w:pPr>
        <w:spacing w:after="0"/>
        <w:ind w:left="0"/>
        <w:jc w:val="left"/>
        <w:textAlignment w:val="auto"/>
      </w:pPr>
      <w:r>
        <w:rPr>
          <w:rFonts w:ascii="Times New Roman"/>
          <w:b w:val="false"/>
          <w:i w:val="false"/>
          <w:color w:val="000000"/>
          <w:sz w:val="24"/>
          <w:lang w:val="pl-PL"/>
        </w:rPr>
        <w:t>W przypadku niezłożenia wniosku o wpis informacji o wznowieniu wykonywania działalności gospodarczej przed upływem okresu 24 miesięcy od dnia zawieszenia wykonywania działalności gospodarczej wpis informacji o wznowieniu wykonywania działalności gospodarczej następuje w dniu kolejnym po upływie okresu 24 miesięcy od dnia zawieszenia wykonywania działalności gospodarczej przez automatyczne zamieszczenie jej w rejestrze przedsiębiorców.</w:t>
      </w:r>
    </w:p>
    <w:p>
      <w:pPr>
        <w:spacing w:before="80" w:after="0"/>
        <w:ind w:left="0"/>
        <w:jc w:val="left"/>
        <w:textAlignment w:val="auto"/>
      </w:pPr>
      <w:r>
        <w:rPr>
          <w:rFonts w:ascii="Times New Roman"/>
          <w:b/>
          <w:i w:val="false"/>
          <w:color w:val="000000"/>
          <w:sz w:val="24"/>
          <w:lang w:val="pl-PL"/>
        </w:rPr>
        <w:t xml:space="preserve"> Art. 20e. </w:t>
      </w:r>
      <w:r>
        <w:rPr>
          <w:rFonts w:ascii="Times New Roman"/>
          <w:b/>
          <w:i w:val="false"/>
          <w:color w:val="000000"/>
          <w:sz w:val="24"/>
          <w:vertAlign w:val="superscript"/>
          <w:lang w:val="pl-PL"/>
        </w:rPr>
        <w:t>34</w:t>
      </w:r>
      <w:r>
        <w:rPr>
          <w:rFonts w:ascii="Times New Roman"/>
          <w:b/>
          <w:i w:val="false"/>
          <w:color w:val="000000"/>
          <w:sz w:val="24"/>
          <w:lang w:val="pl-PL"/>
        </w:rPr>
        <w:t xml:space="preserve"> </w:t>
      </w:r>
      <w:r>
        <w:rPr>
          <w:rFonts w:ascii="Times New Roman"/>
          <w:b/>
          <w:i w:val="false"/>
          <w:color w:val="000000"/>
          <w:sz w:val="24"/>
          <w:lang w:val="pl-PL"/>
        </w:rPr>
        <w:t>[Automatyczna aktualizacja przedmiotu działalności]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w okresie równoczesnego stosowania dotychczasowych i nowych albo zmienianych przepisów wydanych na podstawie </w:t>
      </w:r>
      <w:r>
        <w:rPr>
          <w:rFonts w:ascii="Times New Roman"/>
          <w:b w:val="false"/>
          <w:i w:val="false"/>
          <w:color w:val="1b1b1b"/>
          <w:sz w:val="24"/>
          <w:lang w:val="pl-PL"/>
        </w:rPr>
        <w:t>art. 40 ust. 7</w:t>
      </w:r>
      <w:r>
        <w:rPr>
          <w:rFonts w:ascii="Times New Roman"/>
          <w:b w:val="false"/>
          <w:i w:val="false"/>
          <w:color w:val="000000"/>
          <w:sz w:val="24"/>
          <w:lang w:val="pl-PL"/>
        </w:rPr>
        <w:t xml:space="preserve"> ustawy z dnia 29 czerwca 1995 r. o statystyce publicznej w zakresie Polskiej Klasyfikacji Działalności (PKD) nie został wykreślony przedmiot działalności według dotychczasowej Polskiej Klasyfikacji Działalności (PKD) i nie został wpisany przedmiot działalności według nowej albo zmienianej Polskiej Klasyfikacji Działalności (PKD), po upływie tego okresu jest dokonywany wpis polegający na automatycznym wykreśleniu z Rejestru: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dotychczasowego przedmiotu działalności oraz zamieszczeniu w Rejestrze nowego przedmiotu działalności w sposób określony we wzajemnych relacjach jednoznacznych między dotychczasową i nową albo zmienianą Polską Klasyfikacją Działalności (PKD), o których mowa w </w:t>
      </w:r>
      <w:r>
        <w:rPr>
          <w:rFonts w:ascii="Times New Roman"/>
          <w:b w:val="false"/>
          <w:i w:val="false"/>
          <w:color w:val="1b1b1b"/>
          <w:sz w:val="24"/>
          <w:lang w:val="pl-PL"/>
        </w:rPr>
        <w:t>art. 40 ust. 3 pkt 2</w:t>
      </w:r>
      <w:r>
        <w:rPr>
          <w:rFonts w:ascii="Times New Roman"/>
          <w:b w:val="false"/>
          <w:i w:val="false"/>
          <w:color w:val="000000"/>
          <w:sz w:val="24"/>
          <w:lang w:val="pl-PL"/>
        </w:rPr>
        <w:t xml:space="preserve"> ustawy z dnia 29 czerwca 1995 r. o statystyce publicznej,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dotychczasowego przedmiotu działalności wskazanego we wzajemnych relacjach wieloznacznych między dotychczasową i nową albo zmienianą Polską Klasyfikacją Działalności (PKD), o których mowa w </w:t>
      </w:r>
      <w:r>
        <w:rPr>
          <w:rFonts w:ascii="Times New Roman"/>
          <w:b w:val="false"/>
          <w:i w:val="false"/>
          <w:color w:val="1b1b1b"/>
          <w:sz w:val="24"/>
          <w:lang w:val="pl-PL"/>
        </w:rPr>
        <w:t>art. 40 ust. 3 pkt 1</w:t>
      </w:r>
      <w:r>
        <w:rPr>
          <w:rFonts w:ascii="Times New Roman"/>
          <w:b w:val="false"/>
          <w:i w:val="false"/>
          <w:color w:val="000000"/>
          <w:sz w:val="24"/>
          <w:lang w:val="pl-PL"/>
        </w:rPr>
        <w:t xml:space="preserve"> ustawy z dnia 29 czerwca 1995 r. o statystyce publicznej, oraz zamieszczeniu w Rejestrze nowego przedmiotu działalności w sposób określony w szczegółowych interpretacjach wzajemnych relacji wieloznacznych, o których mowa w </w:t>
      </w:r>
      <w:r>
        <w:rPr>
          <w:rFonts w:ascii="Times New Roman"/>
          <w:b w:val="false"/>
          <w:i w:val="false"/>
          <w:color w:val="1b1b1b"/>
          <w:sz w:val="24"/>
          <w:lang w:val="pl-PL"/>
        </w:rPr>
        <w:t>art. 40 ust. 3 pkt 3</w:t>
      </w:r>
      <w:r>
        <w:rPr>
          <w:rFonts w:ascii="Times New Roman"/>
          <w:b w:val="false"/>
          <w:i w:val="false"/>
          <w:color w:val="000000"/>
          <w:sz w:val="24"/>
          <w:lang w:val="pl-PL"/>
        </w:rPr>
        <w:t xml:space="preserve"> ustawy z dnia 29 czerwca 1995 r. o statystyce publicznej,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dotychczasowego przedmiotu działalności - w przypadkach innych niż określone w </w:t>
      </w:r>
      <w:r>
        <w:rPr>
          <w:rFonts w:ascii="Times New Roman"/>
          <w:b w:val="false"/>
          <w:i w:val="false"/>
          <w:color w:val="1b1b1b"/>
          <w:sz w:val="24"/>
          <w:lang w:val="pl-PL"/>
        </w:rPr>
        <w:t>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przedmiotu działalności pożytku publicznego.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wykreślenie przedmiotu działalności według dotychczasowej Polskiej Klasyfikacji Działalności (PKD) i wpisanie przedmiotu działalności według nowej albo zmienianej Polskiej Klasyfikacji Działalności (PKD) złożony w okresie, o którym mowa w </w:t>
      </w:r>
      <w:r>
        <w:rPr>
          <w:rFonts w:ascii="Times New Roman"/>
          <w:b w:val="false"/>
          <w:i w:val="false"/>
          <w:color w:val="1b1b1b"/>
          <w:sz w:val="24"/>
          <w:lang w:val="pl-PL"/>
        </w:rPr>
        <w:t>ust. 1</w:t>
      </w:r>
      <w:r>
        <w:rPr>
          <w:rFonts w:ascii="Times New Roman"/>
          <w:b w:val="false"/>
          <w:i w:val="false"/>
          <w:color w:val="000000"/>
          <w:sz w:val="24"/>
          <w:lang w:val="pl-PL"/>
        </w:rPr>
        <w:t>, nie podlega opłacie sądowej.</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lang w:val="pl-PL"/>
        </w:rPr>
        <w:t xml:space="preserve"> [Obowiązek informacyjny organów administracji rządowej i samorządowej, sądów, banków, komorników i notariuszy]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Organy administracji rządowej i samorządowej, sądy, banki, komornicy i notariusze są obowiązani niezwłocznie informować sąd rejestrowy o zdarzeniach, które podlegają obowiązkowi wpisu do Rejestru z urzędu. Jednocześnie powinni wskazać aktualne dane niezbędne dla dokonania wpisu w Rejestrze.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Sąd rejestrowy współpracuje z Szefem Krajowego Centrum Informacji Kryminalnych w zakresie niezbędnym do realizacji jego zadań ustawowych.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na podstawie wykazu, o którym mowa w </w:t>
      </w:r>
      <w:r>
        <w:rPr>
          <w:rFonts w:ascii="Times New Roman"/>
          <w:b w:val="false"/>
          <w:i w:val="false"/>
          <w:color w:val="1b1b1b"/>
          <w:sz w:val="24"/>
          <w:lang w:val="pl-PL"/>
        </w:rPr>
        <w:t>art. 4 ust. 7</w:t>
      </w:r>
      <w:r>
        <w:rPr>
          <w:rFonts w:ascii="Times New Roman"/>
          <w:b w:val="false"/>
          <w:i w:val="false"/>
          <w:color w:val="000000"/>
          <w:sz w:val="24"/>
          <w:lang w:val="pl-PL"/>
        </w:rPr>
        <w:t xml:space="preserve"> ustawy z dnia 21 lipca 2006 r. o nadzorze nad rynkiem finansowym, przekazuje sądowi rejestrowemu, za pośrednictwem systemu teleinformatycznego, po otrzymaniu żądania z tego systemu, informacje o osobach objętych zakazem pełnienia funkcji członka zarządu lub funkcji kierowniczych na podstawie decyzji Komisji Nadzoru Finansowego.</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Minister Sprawiedliwości, na podstawie wykazu, o którym mowa w </w:t>
      </w:r>
      <w:r>
        <w:rPr>
          <w:rFonts w:ascii="Times New Roman"/>
          <w:b w:val="false"/>
          <w:i w:val="false"/>
          <w:color w:val="1b1b1b"/>
          <w:sz w:val="24"/>
          <w:lang w:val="pl-PL"/>
        </w:rPr>
        <w:t>art. 42 ust. 11</w:t>
      </w:r>
      <w:r>
        <w:rPr>
          <w:rFonts w:ascii="Times New Roman"/>
          <w:b w:val="false"/>
          <w:i w:val="false"/>
          <w:color w:val="000000"/>
          <w:sz w:val="24"/>
          <w:lang w:val="pl-PL"/>
        </w:rPr>
        <w:t xml:space="preserve"> ustawy z dnia 5 lipca 2018 r. o krajowym systemie cyberbezpieczeństwa, przekazuje sądowi rejestrowemu, za pośrednictwem systemu teleinformatycznego, po otrzymaniu żądania z tego systemu, informacje o osobach objętych zakazem pełnienia w podmiocie kluczowym, o którym mowa w </w:t>
      </w:r>
      <w:r>
        <w:rPr>
          <w:rFonts w:ascii="Times New Roman"/>
          <w:b w:val="false"/>
          <w:i w:val="false"/>
          <w:color w:val="1b1b1b"/>
          <w:sz w:val="24"/>
          <w:lang w:val="pl-PL"/>
        </w:rPr>
        <w:t>art. 5 ust. 1</w:t>
      </w:r>
      <w:r>
        <w:rPr>
          <w:rFonts w:ascii="Times New Roman"/>
          <w:b w:val="false"/>
          <w:i w:val="false"/>
          <w:color w:val="000000"/>
          <w:sz w:val="24"/>
          <w:lang w:val="pl-PL"/>
        </w:rPr>
        <w:t xml:space="preserve"> tej ustawy, funkcji zarządczych na podstawie decyzji organów właściwych do spraw cyberbezpieczeństwa.</w:t>
      </w:r>
    </w:p>
    <w:p>
      <w:pPr>
        <w:spacing w:before="80" w:after="0"/>
        <w:ind w:left="0"/>
        <w:jc w:val="left"/>
        <w:textAlignment w:val="auto"/>
      </w:pPr>
      <w:r>
        <w:rPr>
          <w:rFonts w:ascii="Times New Roman"/>
          <w:b/>
          <w:i w:val="false"/>
          <w:color w:val="000000"/>
          <w:sz w:val="24"/>
          <w:lang w:val="pl-PL"/>
        </w:rPr>
        <w:t xml:space="preserve"> Art. 21a.</w:t>
      </w:r>
      <w:r>
        <w:rPr>
          <w:rFonts w:ascii="Times New Roman"/>
          <w:b/>
          <w:i w:val="false"/>
          <w:color w:val="000000"/>
          <w:sz w:val="24"/>
          <w:lang w:val="pl-PL"/>
        </w:rPr>
        <w:t xml:space="preserve"> [Informacje z Biura Informacyjnego Krajowego Rejestru Karnego]</w:t>
      </w:r>
    </w:p>
    <w:p>
      <w:pPr>
        <w:spacing w:after="0"/>
        <w:ind w:left="0"/>
        <w:jc w:val="left"/>
        <w:textAlignment w:val="auto"/>
      </w:pPr>
      <w:r>
        <w:rPr>
          <w:rFonts w:ascii="Times New Roman"/>
          <w:b w:val="false"/>
          <w:i w:val="false"/>
          <w:color w:val="000000"/>
          <w:sz w:val="24"/>
          <w:lang w:val="pl-PL"/>
        </w:rPr>
        <w:t>Sąd rejestrowy otrzymuje z Biura Informacyjnego Krajowego Rejestru Karnego, za pośrednictwem systemu teleinformatycznego: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odniesieniu do osób, do których ma zastosowanie </w:t>
      </w:r>
      <w:r>
        <w:rPr>
          <w:rFonts w:ascii="Times New Roman"/>
          <w:b w:val="false"/>
          <w:i w:val="false"/>
          <w:color w:val="1b1b1b"/>
          <w:sz w:val="24"/>
          <w:lang w:val="pl-PL"/>
        </w:rPr>
        <w:t>art. 18 § 2</w:t>
      </w:r>
      <w:r>
        <w:rPr>
          <w:rFonts w:ascii="Times New Roman"/>
          <w:b w:val="false"/>
          <w:i w:val="false"/>
          <w:color w:val="000000"/>
          <w:sz w:val="24"/>
          <w:lang w:val="pl-PL"/>
        </w:rPr>
        <w:t xml:space="preserve"> ustawy z dnia 15 września 2000 r. - Kodeks spółek handlowych - informacje o skazaniach za przestępstwa w nim określone;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odniesieniu do osób podlegających wpisowi lub wpisanych w dziale 2, 5 i 6 rejestru przedsiębiorców oraz rejestru stowarzyszeń, innych organizacji społecznych i zawodowych, fundacji oraz samodzielnych publicznych zakładów opieki zdrowotnej - informacje o orzeczonych środkach karnych, o których mowa w </w:t>
      </w:r>
      <w:r>
        <w:rPr>
          <w:rFonts w:ascii="Times New Roman"/>
          <w:b w:val="false"/>
          <w:i w:val="false"/>
          <w:color w:val="1b1b1b"/>
          <w:sz w:val="24"/>
          <w:lang w:val="pl-PL"/>
        </w:rPr>
        <w:t>art. 39 pkt 2</w:t>
      </w:r>
      <w:r>
        <w:rPr>
          <w:rFonts w:ascii="Times New Roman"/>
          <w:b w:val="false"/>
          <w:i w:val="false"/>
          <w:color w:val="000000"/>
          <w:sz w:val="24"/>
          <w:lang w:val="pl-PL"/>
        </w:rPr>
        <w:t xml:space="preserve"> i </w:t>
      </w:r>
      <w:r>
        <w:rPr>
          <w:rFonts w:ascii="Times New Roman"/>
          <w:b w:val="false"/>
          <w:i w:val="false"/>
          <w:color w:val="1b1b1b"/>
          <w:sz w:val="24"/>
          <w:lang w:val="pl-PL"/>
        </w:rPr>
        <w:t>2aa</w:t>
      </w:r>
      <w:r>
        <w:rPr>
          <w:rFonts w:ascii="Times New Roman"/>
          <w:b w:val="false"/>
          <w:i w:val="false"/>
          <w:color w:val="000000"/>
          <w:sz w:val="24"/>
          <w:lang w:val="pl-PL"/>
        </w:rPr>
        <w:t xml:space="preserve"> ustawy z dnia 6 czerwca 1997 r. - Kodeks karny;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odniesieniu do osób podlegających wpisowi lub wpisanych jako członkowie organu zarządzającego lub organu kontroli lub nadzoru organizacji pożytku publicznego - informacje o skazaniach za przestępstwo umyślne ścigane z oskarżenia publicznego lub przestępstwo skarbowe;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odniesieniu do osób podlegających wpisowi lub wpisanych jako członkowie zarządu lub rady nadzorczej spółdzielczej kasy oszczędnościowo-kredytowej - informacje o skazaniach za przestępstwo umyślne przeciwko mieniu, dokumentom lub przestępstwo skarbowe.</w:t>
      </w:r>
    </w:p>
    <w:p>
      <w:pPr>
        <w:spacing w:before="80" w:after="0"/>
        <w:ind w:left="0"/>
        <w:jc w:val="left"/>
        <w:textAlignment w:val="auto"/>
      </w:pPr>
      <w:r>
        <w:rPr>
          <w:rFonts w:ascii="Times New Roman"/>
          <w:b/>
          <w:i w:val="false"/>
          <w:color w:val="000000"/>
          <w:sz w:val="24"/>
          <w:lang w:val="pl-PL"/>
        </w:rPr>
        <w:t xml:space="preserve"> Art. 21b.</w:t>
      </w:r>
      <w:r>
        <w:rPr>
          <w:rFonts w:ascii="Times New Roman"/>
          <w:b/>
          <w:i w:val="false"/>
          <w:color w:val="000000"/>
          <w:sz w:val="24"/>
          <w:lang w:val="pl-PL"/>
        </w:rPr>
        <w:t xml:space="preserve"> [Informacje z rejestru dłużników niewypłacalnych]</w:t>
      </w:r>
    </w:p>
    <w:p>
      <w:pPr>
        <w:spacing w:after="0"/>
        <w:ind w:left="0"/>
        <w:jc w:val="left"/>
        <w:textAlignment w:val="auto"/>
      </w:pPr>
      <w:r>
        <w:rPr>
          <w:rFonts w:ascii="Times New Roman"/>
          <w:b w:val="false"/>
          <w:i w:val="false"/>
          <w:color w:val="000000"/>
          <w:sz w:val="24"/>
          <w:lang w:val="pl-PL"/>
        </w:rPr>
        <w:t>Sąd rejestrowy otrzymuje z rejestru dłużników niewypłacalnych, za pośrednictwem systemu teleinformatycznego, informacje o wpisach do tego rejestru osób, które zostały pozbawione przez sąd upadłościowy prawa prowadzenia działalności gospodarczej na własny rachunek oraz pełnienia funkcji członka rady nadzorczej, reprezentanta lub pełnomocnika w spółce handlowej, przedsiębiorstwie państwowym, spółdzielni, fundacji lub stowarzyszeniu, w odniesieniu do osób wpisanych lub podlegających wpisowi w przypadku spółek handlowych, przedsiębiorstw państwowych, spółdzielni, fundacji lub stowarzyszeń w działach 2, 5 i 6 rejestru przedsiębiorców oraz rejestru stowarzyszeń, innych organizacji społecznych i zawodowych, fundacji oraz samodzielnych publicznych zakładów opieki zdrowotnej.</w:t>
      </w:r>
    </w:p>
    <w:p>
      <w:pPr>
        <w:spacing w:before="80" w:after="0"/>
        <w:ind w:left="0"/>
        <w:jc w:val="left"/>
        <w:textAlignment w:val="auto"/>
      </w:pPr>
      <w:r>
        <w:rPr>
          <w:rFonts w:ascii="Times New Roman"/>
          <w:b/>
          <w:i w:val="false"/>
          <w:color w:val="000000"/>
          <w:sz w:val="24"/>
          <w:lang w:val="pl-PL"/>
        </w:rPr>
        <w:t xml:space="preserve"> Art. 21c.</w:t>
      </w:r>
      <w:r>
        <w:rPr>
          <w:rFonts w:ascii="Times New Roman"/>
          <w:b/>
          <w:i w:val="false"/>
          <w:color w:val="000000"/>
          <w:sz w:val="24"/>
          <w:lang w:val="pl-PL"/>
        </w:rPr>
        <w:t xml:space="preserve"> [Informacje o obwieszczeniach otrzymywane z Krajowego Rejestru Zadłużonych]</w:t>
      </w:r>
    </w:p>
    <w:p>
      <w:pPr>
        <w:spacing w:after="0"/>
        <w:ind w:left="0"/>
        <w:jc w:val="left"/>
        <w:textAlignment w:val="auto"/>
      </w:pPr>
      <w:r>
        <w:rPr>
          <w:rFonts w:ascii="Times New Roman"/>
          <w:b w:val="false"/>
          <w:i w:val="false"/>
          <w:color w:val="000000"/>
          <w:sz w:val="24"/>
          <w:lang w:val="pl-PL"/>
        </w:rPr>
        <w:t xml:space="preserve">Sąd rejestrowy otrzymuje z Krajowego Rejestru Zadłużonych za pośrednictwem systemu teleinformatycznego informacje o obwieszczeniach dokonanych na podstawie </w:t>
      </w:r>
      <w:r>
        <w:rPr>
          <w:rFonts w:ascii="Times New Roman"/>
          <w:b w:val="false"/>
          <w:i w:val="false"/>
          <w:color w:val="1b1b1b"/>
          <w:sz w:val="24"/>
          <w:lang w:val="pl-PL"/>
        </w:rPr>
        <w:t>art. 376 ust. 5</w:t>
      </w:r>
      <w:r>
        <w:rPr>
          <w:rFonts w:ascii="Times New Roman"/>
          <w:b w:val="false"/>
          <w:i w:val="false"/>
          <w:color w:val="000000"/>
          <w:sz w:val="24"/>
          <w:lang w:val="pl-PL"/>
        </w:rPr>
        <w:t xml:space="preserve"> ustawy z dnia 28 lutego 2003 r. - Prawo upadłościowe w odniesieniu do osób wpisanych lub podlegających wpisowi w przypadku spółek handlowych, przedsiębiorstw państwowych, spółdzielni, fundacji lub stowarzyszeń w działach 2, 5 i 6 rejestru przedsiębiorców oraz rejestru stowarzyszeń, innych organizacji społecznych i zawodowych, fundacji oraz samodzielnych publicznych zakładów opieki zdrowotnej.</w:t>
      </w:r>
    </w:p>
    <w:p>
      <w:pPr>
        <w:spacing w:before="80" w:after="0"/>
        <w:ind w:left="0"/>
        <w:jc w:val="left"/>
        <w:textAlignment w:val="auto"/>
      </w:pPr>
      <w:r>
        <w:rPr>
          <w:rFonts w:ascii="Times New Roman"/>
          <w:b/>
          <w:i w:val="false"/>
          <w:color w:val="000000"/>
          <w:sz w:val="24"/>
          <w:lang w:val="pl-PL"/>
        </w:rPr>
        <w:t xml:space="preserve"> Art. 21d.</w:t>
      </w:r>
      <w:r>
        <w:rPr>
          <w:rFonts w:ascii="Times New Roman"/>
          <w:b/>
          <w:i w:val="false"/>
          <w:color w:val="000000"/>
          <w:sz w:val="24"/>
          <w:lang w:val="pl-PL"/>
        </w:rPr>
        <w:t xml:space="preserve"> [Informacje otrzymywane z innych rejestrów za pośrednictwem systemu BRIS]</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Sąd rejestrowy otrzymuje z właściwych rejestrów za pośrednictwem systemu integracji rejestrów informacje dotyczące przedsiębiorcy zagranicznego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otwarciu i zakończeniu likwidacji;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ogłoszeniu upadłości i zakończeniu postępowania upadłościowego;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wykreśleniu;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połączeniu transgranicznym;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przekształceniu transgranicznym;</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zarejestrowaniu spółek nowo zawiązanych oraz o tym, że podział transgraniczny stał się skuteczny - w przypadku podziału transgranicznego;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zmianach następujących danych: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nazwy,</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siedziby,</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numeru w rejestrze,</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formy prawnej,</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oznaczenia organu uprawnionego do reprezentowania podmiotu oraz osób wchodzących w jego skład, ze wskazaniem sposobu reprezentacji,</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powołania i oznaczenia organów nadzoru oraz zakończenia sprawowania przez nie funkcji, a także osób wchodzących w ich skład;</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złożeniu dokumentów finansowych przedsiębiorcy zagranicznego wraz z oznaczeniem roku obrotowego.</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otrzymuje z właściwych rejestrów za pośrednictwem systemu integracji rejestrów informacje o zarejestrowaniu, zamknięciu i wykreśleniu oddziału spółki, o której mowa w </w:t>
      </w:r>
      <w:r>
        <w:rPr>
          <w:rFonts w:ascii="Times New Roman"/>
          <w:b w:val="false"/>
          <w:i w:val="false"/>
          <w:color w:val="1b1b1b"/>
          <w:sz w:val="24"/>
          <w:lang w:val="pl-PL"/>
        </w:rPr>
        <w:t>art. 4a pkt 1</w:t>
      </w:r>
      <w:r>
        <w:rPr>
          <w:rFonts w:ascii="Times New Roman"/>
          <w:b w:val="false"/>
          <w:i w:val="false"/>
          <w:color w:val="000000"/>
          <w:sz w:val="24"/>
          <w:lang w:val="pl-PL"/>
        </w:rPr>
        <w:t>, utworzonego w innym państwie członkowskim Unii Europejskiej lub państwie członkowskim Europejskiego Porozumienia o Wolnym Handlu (EFTA) - stronie umowy o Europejskim Obszarze Gospodarczym.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Sąd rejestrowy otrzymuje z właściwych rejestrów za pośrednictwem systemu integracji rejestrów zaświadczenie o zgodności z prawem odpowiednio przekształcenia, podziału lub połączenia transgranicznego.</w:t>
      </w:r>
    </w:p>
    <w:p>
      <w:pPr>
        <w:spacing w:before="80" w:after="0"/>
        <w:ind w:left="0"/>
        <w:jc w:val="left"/>
        <w:textAlignment w:val="auto"/>
      </w:pPr>
      <w:r>
        <w:rPr>
          <w:rFonts w:ascii="Times New Roman"/>
          <w:b/>
          <w:i w:val="false"/>
          <w:color w:val="000000"/>
          <w:sz w:val="24"/>
          <w:lang w:val="pl-PL"/>
        </w:rPr>
        <w:t xml:space="preserve"> Art. 22. </w:t>
      </w:r>
      <w:r>
        <w:rPr>
          <w:rFonts w:ascii="Times New Roman"/>
          <w:b/>
          <w:i w:val="false"/>
          <w:color w:val="000000"/>
          <w:sz w:val="24"/>
          <w:vertAlign w:val="superscript"/>
          <w:lang w:val="pl-PL"/>
        </w:rPr>
        <w:t>36</w:t>
      </w:r>
      <w:r>
        <w:rPr>
          <w:rFonts w:ascii="Times New Roman"/>
          <w:b/>
          <w:i w:val="false"/>
          <w:color w:val="000000"/>
          <w:sz w:val="24"/>
          <w:lang w:val="pl-PL"/>
        </w:rPr>
        <w:t xml:space="preserve"> </w:t>
      </w:r>
      <w:r>
        <w:rPr>
          <w:rFonts w:ascii="Times New Roman"/>
          <w:b/>
          <w:i w:val="false"/>
          <w:color w:val="000000"/>
          <w:sz w:val="24"/>
          <w:lang w:val="pl-PL"/>
        </w:rPr>
        <w:t>[Termin złożenia wniosku o wpis do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wpis do Rejestru powinien być złożony nie później niż w terminie 7 dni od dnia zdarzenia uzasadniającego dokonanie wpisu, chyba że </w:t>
      </w:r>
      <w:r>
        <w:rPr>
          <w:rFonts w:ascii="Times New Roman"/>
          <w:b w:val="false"/>
          <w:i w:val="false"/>
          <w:color w:val="1b1b1b"/>
          <w:sz w:val="24"/>
          <w:lang w:val="pl-PL"/>
        </w:rPr>
        <w:t>przepis</w:t>
      </w:r>
      <w:r>
        <w:rPr>
          <w:rFonts w:ascii="Times New Roman"/>
          <w:b w:val="false"/>
          <w:i w:val="false"/>
          <w:color w:val="000000"/>
          <w:sz w:val="24"/>
          <w:lang w:val="pl-PL"/>
        </w:rPr>
        <w:t xml:space="preserve"> szczególny stanowi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wykreślenia z Rejestru przedmiotu przeważającej działalności na podstawie </w:t>
      </w:r>
      <w:r>
        <w:rPr>
          <w:rFonts w:ascii="Times New Roman"/>
          <w:b w:val="false"/>
          <w:i w:val="false"/>
          <w:color w:val="1b1b1b"/>
          <w:sz w:val="24"/>
          <w:lang w:val="pl-PL"/>
        </w:rPr>
        <w:t>art. 20e ust. 1 pkt 3</w:t>
      </w:r>
      <w:r>
        <w:rPr>
          <w:rFonts w:ascii="Times New Roman"/>
          <w:b w:val="false"/>
          <w:i w:val="false"/>
          <w:color w:val="000000"/>
          <w:sz w:val="24"/>
          <w:lang w:val="pl-PL"/>
        </w:rPr>
        <w:t xml:space="preserve"> podmiot wpisany do rejestru przedsiębiorców jest obowiązany do zgłoszenia przedmiotu przeważającej działalności według nowej Polskiej Klasyfikacji Działalności (PKD) przy pierwszym wniosku o zmianę danych w Rejestrze niepóźniej niż w terminie 5 lat od dnia tego wykreślenia. Jeżeli przedmiot działalności wynika z umowy spółki, aktu założycielskiego lub statutu, zgłoszenie nie wymaga dokonania zmiany w tych dokumentach.</w:t>
      </w:r>
    </w:p>
    <w:p>
      <w:pPr>
        <w:spacing w:before="80" w:after="0"/>
        <w:ind w:left="0"/>
        <w:jc w:val="left"/>
        <w:textAlignment w:val="auto"/>
      </w:pPr>
      <w:r>
        <w:rPr>
          <w:rFonts w:ascii="Times New Roman"/>
          <w:b/>
          <w:i w:val="false"/>
          <w:color w:val="000000"/>
          <w:sz w:val="24"/>
          <w:lang w:val="pl-PL"/>
        </w:rPr>
        <w:t xml:space="preserve"> Art. 22a.</w:t>
      </w:r>
      <w:r>
        <w:rPr>
          <w:rFonts w:ascii="Times New Roman"/>
          <w:b/>
          <w:i w:val="false"/>
          <w:color w:val="000000"/>
          <w:sz w:val="24"/>
          <w:lang w:val="pl-PL"/>
        </w:rPr>
        <w:t xml:space="preserve"> [Treść wniosku o wpis informacji o zawieszeniu oraz wznowieniu wykonywania działalności gospodarczej]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Wniosek o wpis informacji o zawieszeniu wykonywania działalności gospodarczej oraz wniosek o wpis informacji o wznowieniu wykonywania działalności gospodarczej powinien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lub firmę;</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numer podmiotu w Rejestrze;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siedzibę i adres przedsiębiorcy;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datę rozpoczęcia zawieszenia wykonywania działalności gospodarczej albo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datę wznowienia wykonywania działalności gospodarczej.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wniosku o wpis informacji o zawieszeniu wykonywania działalności gospodarczej przedsiębiorca załącza oświadczenie o niezatrudnianiu pracowników.</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lang w:val="pl-PL"/>
        </w:rPr>
        <w:t xml:space="preserve"> [Badanie wniosku o wpis do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Sąd rejestrowy bada, czy dołączone do wniosku dokumenty są zgodne pod względem formy i treści z przepisami prawa.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bada, czy dane wskazane we wniosku o wpis do Rejestru w zakresie określonym w </w:t>
      </w:r>
      <w:r>
        <w:rPr>
          <w:rFonts w:ascii="Times New Roman"/>
          <w:b w:val="false"/>
          <w:i w:val="false"/>
          <w:color w:val="1b1b1b"/>
          <w:sz w:val="24"/>
          <w:lang w:val="pl-PL"/>
        </w:rPr>
        <w:t>art. 35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oraz </w:t>
      </w:r>
      <w:r>
        <w:rPr>
          <w:rFonts w:ascii="Times New Roman"/>
          <w:b w:val="false"/>
          <w:i w:val="false"/>
          <w:color w:val="1b1b1b"/>
          <w:sz w:val="24"/>
          <w:lang w:val="pl-PL"/>
        </w:rPr>
        <w:t>art. 38 pkt 1 lit. h</w:t>
      </w:r>
      <w:r>
        <w:rPr>
          <w:rFonts w:ascii="Times New Roman"/>
          <w:b w:val="false"/>
          <w:i w:val="false"/>
          <w:color w:val="000000"/>
          <w:sz w:val="24"/>
          <w:lang w:val="pl-PL"/>
        </w:rPr>
        <w:t xml:space="preserve"> są prawdziwe. W pozostałym zakresie sąd rejestrowy bada, czy zgłoszone dane są zgodne z rzeczywistym stanem, jeżeli ma w tym względzie uzasadnione wątpliwości.</w:t>
      </w:r>
    </w:p>
    <w:p>
      <w:pPr>
        <w:spacing w:before="80" w:after="0"/>
        <w:ind w:left="0"/>
        <w:jc w:val="left"/>
        <w:textAlignment w:val="auto"/>
      </w:pPr>
      <w:r>
        <w:rPr>
          <w:rFonts w:ascii="Times New Roman"/>
          <w:b/>
          <w:i w:val="false"/>
          <w:color w:val="000000"/>
          <w:sz w:val="24"/>
          <w:lang w:val="pl-PL"/>
        </w:rPr>
        <w:t xml:space="preserve"> Art. 24.</w:t>
      </w:r>
      <w:r>
        <w:rPr>
          <w:rFonts w:ascii="Times New Roman"/>
          <w:b/>
          <w:i w:val="false"/>
          <w:color w:val="000000"/>
          <w:sz w:val="24"/>
          <w:lang w:val="pl-PL"/>
        </w:rPr>
        <w:t xml:space="preserve"> [Wezwanie do uzupełnienia braków formalnych wniosku. Wezwanie do powołania lub wyboru organu osoby prawnej. Postępowanie przymuszające]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stwierdzenia, że wniosek o wpis do Rejestru lub dokumenty, których złożenie jest obowiązkowe, nie zostały złożone pomimo upływu terminu, sąd rejestrowy wzywa obowiązanych do ich złożenia - wyznaczając dodatkowy 7-dniowy termin.</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W uzasadnionych przypadkach, w razie stwierdzenia, że osoba prawna nie posiada organu uprawnionego do reprezentowania lub w składzie tego organu zachodzą braki uniemożliwiające jej działanie, sąd rejestrowy, wyznaczając odpowiedni termin, może wezwać obowiązanych do powołania lub wyboru tego organu do wykazania, że organ został powołany lub wybrany albo że braki w jego składzie zostały usunięte.</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Wezwań w postępowaniach,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1a</w:t>
      </w:r>
      <w:r>
        <w:rPr>
          <w:rFonts w:ascii="Times New Roman"/>
          <w:b w:val="false"/>
          <w:i w:val="false"/>
          <w:color w:val="000000"/>
          <w:sz w:val="24"/>
          <w:lang w:val="pl-PL"/>
        </w:rPr>
        <w:t xml:space="preserve"> (postępowania przymuszające), sąd dokonuje pod rygorem zastosowania grzywny przewidzianej w przepisach Kodeksu postępowania cywilnego o egzekucji świadczeń niepieniężnych. W przypadku niewykonania obowiązków w terminie sąd rejestrowy nakłada grzywnę na obowiązanych. Przepisu </w:t>
      </w:r>
      <w:r>
        <w:rPr>
          <w:rFonts w:ascii="Times New Roman"/>
          <w:b w:val="false"/>
          <w:i w:val="false"/>
          <w:color w:val="1b1b1b"/>
          <w:sz w:val="24"/>
          <w:lang w:val="pl-PL"/>
        </w:rPr>
        <w:t>art. 1053</w:t>
      </w:r>
      <w:r>
        <w:rPr>
          <w:rFonts w:ascii="Times New Roman"/>
          <w:b w:val="false"/>
          <w:i w:val="false"/>
          <w:color w:val="000000"/>
          <w:sz w:val="24"/>
          <w:lang w:val="pl-PL"/>
        </w:rPr>
        <w:t xml:space="preserve"> Kodeksu postępowania cywilnego nie stosuje się.</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może ponawiać grzywnę, o której mowa w </w:t>
      </w:r>
      <w:r>
        <w:rPr>
          <w:rFonts w:ascii="Times New Roman"/>
          <w:b w:val="false"/>
          <w:i w:val="false"/>
          <w:color w:val="1b1b1b"/>
          <w:sz w:val="24"/>
          <w:lang w:val="pl-PL"/>
        </w:rPr>
        <w:t>ust. 1b</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Sąd rejestrowy nie wszczyna postępowania przymuszającego, o którym mowa w </w:t>
      </w:r>
      <w:r>
        <w:rPr>
          <w:rFonts w:ascii="Times New Roman"/>
          <w:b w:val="false"/>
          <w:i w:val="false"/>
          <w:color w:val="1b1b1b"/>
          <w:sz w:val="24"/>
          <w:lang w:val="pl-PL"/>
        </w:rPr>
        <w:t>ust. 1</w:t>
      </w:r>
      <w:r>
        <w:rPr>
          <w:rFonts w:ascii="Times New Roman"/>
          <w:b w:val="false"/>
          <w:i w:val="false"/>
          <w:color w:val="000000"/>
          <w:sz w:val="24"/>
          <w:lang w:val="pl-PL"/>
        </w:rPr>
        <w:t>, gdy z danych zawartych w aktach rejestrowych wynika, że nie doprowadzi ono do złożenia wniosku o wpis do Rejestru lub dokumentów, których złożenie jest obowiązkowe. W postanowieniu o odstąpieniu od tego postępowania przymuszającego sąd rejestrowy wskazuje podstawę faktyczną odstąpienia od wszczęcia postępowania przymuszającego. Postanowienie nie wymaga doręczenia i nie podlega zaskarżeniu.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Sąd rejestrowy umarza postępowanie przymuszające, gdy z okoliczności sprawy wynika, że nie doprowadzi ono do spełnienia obowiązku.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odstąpienia od postępowania przymuszającego lub jego umorzenia sąd rejestrowy wszczyna postępowanie przymuszające, jeżeli poweźmie wiadomość, że sytuacja prawna lub faktyczna podmiotu uległa zmianie w sposób umożliwiający skuteczne jego prowadzenie.</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przypadkach uzasadnionych bezpieczeństwem obrotu sąd rejestrowy może dokonać z urzędu wykreślenia danych niezgodnych z rzeczywistym stanem rzeczy lub wpisu danych odpowiadających rzeczywistemu stanowi rzeczy, jeżeli dokumenty stanowiące podstawę wpisu lub wykreślenia znajdują się w aktach rejestrowych, a dane te są istotne.</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[Rozwiązanie spółki oraz ustanowienie likwidatora w razie niewykonania obowiązków]</w:t>
      </w:r>
    </w:p>
    <w:p>
      <w:pPr>
        <w:spacing w:after="0"/>
        <w:ind w:left="0"/>
        <w:jc w:val="left"/>
        <w:textAlignment w:val="auto"/>
      </w:pPr>
      <w:r>
        <w:rPr>
          <w:rFonts w:ascii="Times New Roman"/>
          <w:b w:val="false"/>
          <w:i w:val="false"/>
          <w:color w:val="000000"/>
          <w:sz w:val="24"/>
          <w:lang w:val="pl-PL"/>
        </w:rPr>
        <w:t xml:space="preserve">Jeżeli pomimo stosowania grzywny, o której mowa w </w:t>
      </w:r>
      <w:r>
        <w:rPr>
          <w:rFonts w:ascii="Times New Roman"/>
          <w:b w:val="false"/>
          <w:i w:val="false"/>
          <w:color w:val="1b1b1b"/>
          <w:sz w:val="24"/>
          <w:lang w:val="pl-PL"/>
        </w:rPr>
        <w:t>art. 24</w:t>
      </w:r>
      <w:r>
        <w:rPr>
          <w:rFonts w:ascii="Times New Roman"/>
          <w:b w:val="false"/>
          <w:i w:val="false"/>
          <w:color w:val="000000"/>
          <w:sz w:val="24"/>
          <w:lang w:val="pl-PL"/>
        </w:rPr>
        <w:t xml:space="preserve">, osobowa spółka handlowa wpisana do Rejestru nie wykonuje obowiązków określonych w </w:t>
      </w:r>
      <w:r>
        <w:rPr>
          <w:rFonts w:ascii="Times New Roman"/>
          <w:b w:val="false"/>
          <w:i w:val="false"/>
          <w:color w:val="1b1b1b"/>
          <w:sz w:val="24"/>
          <w:lang w:val="pl-PL"/>
        </w:rPr>
        <w:t>art. 24 ust. 1</w:t>
      </w:r>
      <w:r>
        <w:rPr>
          <w:rFonts w:ascii="Times New Roman"/>
          <w:b w:val="false"/>
          <w:i w:val="false"/>
          <w:color w:val="000000"/>
          <w:sz w:val="24"/>
          <w:lang w:val="pl-PL"/>
        </w:rPr>
        <w:t>, sąd rejestrowy z urzędu może, z ważnych powodów, orzec o rozwiązaniu spółki oraz ustanowić likwidatora.</w:t>
      </w:r>
    </w:p>
    <w:p>
      <w:pPr>
        <w:spacing w:before="80" w:after="0"/>
        <w:ind w:left="0"/>
        <w:jc w:val="left"/>
        <w:textAlignment w:val="auto"/>
      </w:pPr>
      <w:r>
        <w:rPr>
          <w:rFonts w:ascii="Times New Roman"/>
          <w:b/>
          <w:i w:val="false"/>
          <w:color w:val="000000"/>
          <w:sz w:val="24"/>
          <w:lang w:val="pl-PL"/>
        </w:rPr>
        <w:t xml:space="preserve"> Art. 25a.</w:t>
      </w:r>
      <w:r>
        <w:rPr>
          <w:rFonts w:ascii="Times New Roman"/>
          <w:b/>
          <w:i w:val="false"/>
          <w:color w:val="000000"/>
          <w:sz w:val="24"/>
          <w:lang w:val="pl-PL"/>
        </w:rPr>
        <w:t xml:space="preserve"> [Postępowanie o rozwiązanie podmiotu bez przeprowadzania postępowania likwidacyjnego]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Sąd rejestrowy wszczyna z urzędu postępowanie o rozwiązanie podmiotu wpisanego do Rejestru bez przeprowadzania postępowania likwidacyjnego, w przypadku gdy: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oddalając wniosek o ogłoszenie upadłości lub umarzając postępowanie upadłościowe, sąd upadłościowy stwierdzi, że zgromadzony w sprawie materiał daje podstawę do rozwiązania bez przeprowadzania postępowania likwidacyjnego;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oddalono wniosek o ogłoszenie upadłości lub umorzono postępowanie upadłościowe z tego powodu, że majątek niewypłacalnego dłużnika nie wystarcza na zaspokojenie kosztów postępowania;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wydano postanowienie o odstąpieniu od postępowania przymuszającego lub jego umorzeniu;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mimo wezwania sądu rejestrowego nie złożono rocznych sprawozdań finansowych za 2 kolejne lata obrotowe;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mimo dwukrotnego wezwania sądu rejestrowego nie wykonano innych obowiązków, o których mowa w </w:t>
      </w:r>
      <w:r>
        <w:rPr>
          <w:rFonts w:ascii="Times New Roman"/>
          <w:b w:val="false"/>
          <w:i w:val="false"/>
          <w:color w:val="1b1b1b"/>
          <w:sz w:val="24"/>
          <w:lang w:val="pl-PL"/>
        </w:rPr>
        <w:t>art. 24 ust. 1</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toku postępowania o rozwiązanie podmiotu wpisanego do Rejestru bez przeprowadzania postępowania likwidacyjnego sąd rejestrowy bada, czy podmiot ten posiada zbywalny majątek i czy faktycznie prowadzi działalność.</w:t>
      </w:r>
    </w:p>
    <w:p>
      <w:pPr>
        <w:spacing w:before="80" w:after="0"/>
        <w:ind w:left="0"/>
        <w:jc w:val="left"/>
        <w:textAlignment w:val="auto"/>
      </w:pPr>
      <w:r>
        <w:rPr>
          <w:rFonts w:ascii="Times New Roman"/>
          <w:b/>
          <w:i w:val="false"/>
          <w:color w:val="000000"/>
          <w:sz w:val="24"/>
          <w:lang w:val="pl-PL"/>
        </w:rPr>
        <w:t xml:space="preserve"> Art. 25b.</w:t>
      </w:r>
      <w:r>
        <w:rPr>
          <w:rFonts w:ascii="Times New Roman"/>
          <w:b/>
          <w:i w:val="false"/>
          <w:color w:val="000000"/>
          <w:sz w:val="24"/>
          <w:lang w:val="pl-PL"/>
        </w:rPr>
        <w:t xml:space="preserve"> [Zawiadomienie oraz ogłoszenie o wszczęciu postępowania o rozwiązanie podmiotu bez przeprowadzania postępowania likwidacyjnego]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Sąd rejestrowy zawiadamia podmiot wpisany do Rejestru o wszczęciu postępowania o rozwiązanie bez przeprowadzania postępowania likwidacyjnego, wzywając go do wykazania, że faktycznie prowadzi działalność i że posiada majątek, ze wskazaniem jego składników, w terminie 14 dni od dnia doręczenia wezwania, z pouczeniem o skutkach braku odpowiedzi na wezwanie sądu.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Sąd rejestrowy ogłasza o wszczęciu postępowania o rozwiązanie podmiotu wpisanego do Rejestru bez przeprowadzania postępowania likwidacyjnego. W przypadku braku organu uprawnionego do reprezentacji lub aktualnego adresu podmiotu wpisanego do Rejestru ogłoszenie zastępuje zawiadomienie o wszczęciu postępowania.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Ogłoszenie o wszczęciu postępowania o rozwiązanie podmiotu wpisanego do Rejestru bez przeprowadzania postępowania likwidacyjnego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sądu rejestrowego prowadzącego postępowanie, nazwę (firmę) podmiotu, numer podmiotu w Rejestrze, ostatni ujawniony w Rejestrze adres siedziby oraz informację o celu prowadzonego postępowania;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wezwanie skierowane do wszystkich osób, których uzasadniony interes mógłby sprzeciwiać się rozwiązaniu podmiotu bez przeprowadzania postępowania likwidacyjnego i jego wykreśleniu z Rejestru, do zgłaszania okoliczności przemawiających przeciwko rozwiązaniu w terminie 3 miesięcy od dnia ogłoszenia;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pouczenie, że w przypadku stwierdzenia, że podmiot wpisany do Rejestru nie posiada zbywalnego majątku i faktycznie nie prowadzi działalności, sąd rejestrowy może orzec o rozwiązaniu tego podmiotu bez przeprowadzania postępowania likwidacyjnego i zarządzić jego wykreślenie z Rejestru.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odniesieniu do podmiotów wpisanych do rejestru przedsiębiorców oraz podmiotów wpisanych do rejestru stowarzyszeń, innych organizacji społecznych i zawodowych, fundacji oraz samodzielnych publicznych zakładów opieki zdrowotnej ogłoszenie zamieszcza się w Monitorze Sądowym i Gospodarczym. Sąd rejestrowy może zarządzić zamieszczenie ogłoszenia także w dzienniku lub czasopiśmie oraz podać je do publicznej wiadomości w inny sposób, taki jaki uzna za odpowiedni.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Ogłoszenie o wszczęciu postępowania o rozwiązanie podmiotu wpisanego do Rejestru bez przeprowadzania postępowania likwidacyjnego, zamieszczane w Monitorze Sądowym i Gospodarczym, nie podlega opłacie.</w:t>
      </w:r>
    </w:p>
    <w:p>
      <w:pPr>
        <w:spacing w:before="80" w:after="0"/>
        <w:ind w:left="0"/>
        <w:jc w:val="left"/>
        <w:textAlignment w:val="auto"/>
      </w:pPr>
      <w:r>
        <w:rPr>
          <w:rFonts w:ascii="Times New Roman"/>
          <w:b/>
          <w:i w:val="false"/>
          <w:color w:val="000000"/>
          <w:sz w:val="24"/>
          <w:lang w:val="pl-PL"/>
        </w:rPr>
        <w:t xml:space="preserve"> Art. 25c.</w:t>
      </w:r>
      <w:r>
        <w:rPr>
          <w:rFonts w:ascii="Times New Roman"/>
          <w:b/>
          <w:i w:val="false"/>
          <w:color w:val="000000"/>
          <w:sz w:val="24"/>
          <w:lang w:val="pl-PL"/>
        </w:rPr>
        <w:t xml:space="preserve"> [Ustalenie czy podmiot posiada zbywalny majątek i czy prowadzi działalność]</w:t>
      </w:r>
    </w:p>
    <w:p>
      <w:pPr>
        <w:spacing w:after="0"/>
        <w:ind w:left="0"/>
        <w:jc w:val="left"/>
        <w:textAlignment w:val="auto"/>
      </w:pPr>
      <w:r>
        <w:rPr>
          <w:rFonts w:ascii="Times New Roman"/>
          <w:b w:val="false"/>
          <w:i w:val="false"/>
          <w:color w:val="000000"/>
          <w:sz w:val="24"/>
          <w:lang w:val="pl-PL"/>
        </w:rPr>
        <w:t>W toku postępowania o rozwiązanie podmiotu wpisanego do Rejestru bez przeprowadzania postępowania likwidacyjnego sąd rejestrowy może zwrócić się o udzielenie informacji niezbędnych do ustalenia, czy podmiot wpisany do Rejestru posiada zbywalny majątek i czy faktycznie prowadzi działalność, do organów podatkowych, organów prowadzących rejestry i ewidencje publiczne lub innych organów administracji publicznej oraz do organizacji społecznych.</w:t>
      </w:r>
    </w:p>
    <w:p>
      <w:pPr>
        <w:spacing w:before="80" w:after="0"/>
        <w:ind w:left="0"/>
        <w:jc w:val="left"/>
        <w:textAlignment w:val="auto"/>
      </w:pPr>
      <w:r>
        <w:rPr>
          <w:rFonts w:ascii="Times New Roman"/>
          <w:b/>
          <w:i w:val="false"/>
          <w:color w:val="000000"/>
          <w:sz w:val="24"/>
          <w:lang w:val="pl-PL"/>
        </w:rPr>
        <w:t xml:space="preserve"> Art. 25d.</w:t>
      </w:r>
      <w:r>
        <w:rPr>
          <w:rFonts w:ascii="Times New Roman"/>
          <w:b/>
          <w:i w:val="false"/>
          <w:color w:val="000000"/>
          <w:sz w:val="24"/>
          <w:lang w:val="pl-PL"/>
        </w:rPr>
        <w:t xml:space="preserve"> [Orzeczenie o rozwiązaniu podmiotu bez przeprowadzania postępowania likwidacyjnego]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ustalenia przez sąd rejestrowy w postępowaniu o rozwiązanie podmiotu wpisanego do Rejestru bez przeprowadzania postępowania likwidacyjnego, że podmiot ten nie posiada zbywalnego majątku i faktycznie nie prowadzi działalności, sąd rejestrowy orzeka o rozwiązaniu podmiotu bez przeprowadzania postępowania likwidacyjnego i zarządza jego wykreślenie z Rejestru.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Istnienie niezaspokojonych zobowiązań ciążących na podmiocie wpisanym do Rejestru lub nieściągalnych wierzytelności nie wyłącza możliwości orzeczenia o rozwiązaniu tego podmiotu bez przeprowadzania postępowania likwidacyjnego.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Sąd rejestrowy umarza postępowanie o rozwiązanie podmiotu wpisanego do Rejestru bez przeprowadzania postępowania likwidacyjnego w przypadku ustalenia, że podmiot ten posiada zbywalny majątek lub faktycznie prowadzi działalność, albo w przypadku gdy poweźmie wiadomość, iż zachodzą inne istotne okoliczności przemawiające przeciwko rozwiązaniu tego podmiotu bez przeprowadzania postępowania likwidacyjnego, w tym w szczególności uzasadnione interesem wierzyciela.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Sąd rejestrowy ogłasza o rozwiązaniu bez przeprowadzania postępowania likwidacyjnego i wykreśleniu podmiotu wpisanego wyłącznie do rejestru stowarzyszeń, innych organizacji społecznych i zawodowych, fundacji oraz samodzielnych publicznych zakładów opieki zdrowotnej w Monitorze Sądowym i Gospodarczym.</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Ogłoszenie w Monitorze Sądowym i Gospodarczym o rozwiązaniu podmiotu wpisanego do </w:t>
      </w:r>
      <w:r>
        <w:rPr>
          <w:rFonts w:ascii="Times New Roman"/>
          <w:b w:val="false"/>
          <w:i/>
          <w:color w:val="000000"/>
          <w:sz w:val="24"/>
          <w:lang w:val="pl-PL"/>
        </w:rPr>
        <w:t>Krajowego Rejestru Sądowego</w:t>
      </w:r>
    </w:p>
    <w:p>
      <w:pPr>
        <w:spacing w:after="0"/>
        <w:ind w:left="0"/>
        <w:jc w:val="left"/>
        <w:textAlignment w:val="auto"/>
      </w:pPr>
      <w:r>
        <w:rPr>
          <w:rFonts w:ascii="Times New Roman"/>
          <w:b w:val="false"/>
          <w:i w:val="false"/>
          <w:color w:val="000000"/>
          <w:sz w:val="24"/>
          <w:lang w:val="pl-PL"/>
        </w:rPr>
        <w:t xml:space="preserve"> bez przeprowadzania postępowania likwidacyjnego i jego wykreśleniu z Rejestru, nie podlega opłacie.</w:t>
      </w:r>
    </w:p>
    <w:p>
      <w:pPr>
        <w:spacing w:before="80" w:after="0"/>
        <w:ind w:left="0"/>
        <w:jc w:val="left"/>
        <w:textAlignment w:val="auto"/>
      </w:pPr>
      <w:r>
        <w:rPr>
          <w:rFonts w:ascii="Times New Roman"/>
          <w:b/>
          <w:i w:val="false"/>
          <w:color w:val="000000"/>
          <w:sz w:val="24"/>
          <w:lang w:val="pl-PL"/>
        </w:rPr>
        <w:t xml:space="preserve"> Art. 25e.</w:t>
      </w:r>
      <w:r>
        <w:rPr>
          <w:rFonts w:ascii="Times New Roman"/>
          <w:b/>
          <w:i w:val="false"/>
          <w:color w:val="000000"/>
          <w:sz w:val="24"/>
          <w:lang w:val="pl-PL"/>
        </w:rPr>
        <w:t xml:space="preserve"> [Nabycie mienia podmiotu wykreślonego z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Skarb Państwa nabywa nieodpłatnie z mocy prawa mienie pozostałe po wykreślonym z Rejestru podmiocie, bez względu na przyczynę wykreślenia, którym nie rozporządził przed wykreśleniem właściwy organ, z chwilą wykreślenia z Rejestru.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Skarb Państwa ponosi odpowiedzialność z nabytego mienia za zobowiązania podmiotu wykreślonego z Rejestru.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Wspólnicy, członkowie spółdzielni i inne osoby uprawnione do udziału w majątku likwidacyjnym mogą dochodzić swoich praw, gdy reprezentują łącznie co najmniej dwie trzecie głosów i wykażą, że wszyscy wierzyciele zostali zaspokojeni lub zabezpieczeni.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Roszczenia wierzycieli oraz osób, o których mowa w </w:t>
      </w:r>
      <w:r>
        <w:rPr>
          <w:rFonts w:ascii="Times New Roman"/>
          <w:b w:val="false"/>
          <w:i w:val="false"/>
          <w:color w:val="1b1b1b"/>
          <w:sz w:val="24"/>
          <w:lang w:val="pl-PL"/>
        </w:rPr>
        <w:t>ust. 3</w:t>
      </w:r>
      <w:r>
        <w:rPr>
          <w:rFonts w:ascii="Times New Roman"/>
          <w:b w:val="false"/>
          <w:i w:val="false"/>
          <w:color w:val="000000"/>
          <w:sz w:val="24"/>
          <w:lang w:val="pl-PL"/>
        </w:rPr>
        <w:t>, wygasają, jeżeli nie będą dochodzone przeciwko Skarbowi Państwa w terminie roku od chwili nabycia mienia przez Skarb Państwa. Jeżeli przed nabyciem mienia przez Skarb Państwa wierzyciel uzyskał tytuł egzekucyjny przeciwko podmiotowi wykreślonemu z Rejestru, roszczenie stwierdzone w tym tytule wygasa, jeżeli wierzyciel nie złoży wniosku o wszczęcie egzekucji w terminie roku od chwili nabycia mienia przez Skarb Państwa.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postępowaniach egzekucyjnych prowadzonych przeciwko Skarbowi Państwa nie stosuje się przepisu </w:t>
      </w:r>
      <w:r>
        <w:rPr>
          <w:rFonts w:ascii="Times New Roman"/>
          <w:b w:val="false"/>
          <w:i w:val="false"/>
          <w:color w:val="1b1b1b"/>
          <w:sz w:val="24"/>
          <w:lang w:val="pl-PL"/>
        </w:rPr>
        <w:t>art. 1060</w:t>
      </w:r>
      <w:r>
        <w:rPr>
          <w:rFonts w:ascii="Times New Roman"/>
          <w:b w:val="false"/>
          <w:i w:val="false"/>
          <w:color w:val="000000"/>
          <w:sz w:val="24"/>
          <w:lang w:val="pl-PL"/>
        </w:rPr>
        <w:t xml:space="preserve"> Kodeksu postępowania cywilnego. Skarb Państwa może uczestniczyć w podziale sumy uzyskanej z egzekucji wszczętej na rzecz innego wierzyciela, jeżeli wierzytelność Skarbu Państwa jest stwierdzona tytułem egzekucyjnym, tytułem wykonawczym stanowiącym podstawę wszczęcia egzekucji administracyjnej albo była zabezpieczona hipoteką albo zastawem rejestrowym lub skarbowym. Wierzytelność, która była zabezpieczona hipoteką albo zastawem rejestrowym lub skarbowym podlega zaspokojeniu w kolejności przewidzianej w </w:t>
      </w:r>
      <w:r>
        <w:rPr>
          <w:rFonts w:ascii="Times New Roman"/>
          <w:b w:val="false"/>
          <w:i w:val="false"/>
          <w:color w:val="1b1b1b"/>
          <w:sz w:val="24"/>
          <w:lang w:val="pl-PL"/>
        </w:rPr>
        <w:t>art. 1025 § 1 pkt 5</w:t>
      </w:r>
      <w:r>
        <w:rPr>
          <w:rFonts w:ascii="Times New Roman"/>
          <w:b w:val="false"/>
          <w:i w:val="false"/>
          <w:color w:val="000000"/>
          <w:sz w:val="24"/>
          <w:lang w:val="pl-PL"/>
        </w:rPr>
        <w:t xml:space="preserve"> Kodeksu postępowania cywilnego albo w </w:t>
      </w:r>
      <w:r>
        <w:rPr>
          <w:rFonts w:ascii="Times New Roman"/>
          <w:b w:val="false"/>
          <w:i w:val="false"/>
          <w:color w:val="1b1b1b"/>
          <w:sz w:val="24"/>
          <w:lang w:val="pl-PL"/>
        </w:rPr>
        <w:t>art. 115 § 1 pkt 3</w:t>
      </w:r>
      <w:r>
        <w:rPr>
          <w:rFonts w:ascii="Times New Roman"/>
          <w:b w:val="false"/>
          <w:i w:val="false"/>
          <w:color w:val="000000"/>
          <w:sz w:val="24"/>
          <w:lang w:val="pl-PL"/>
        </w:rPr>
        <w:t xml:space="preserve"> ustawy z dnia 17 czerwca 1966 r. o postępowaniu egzekucyjnym w administracji (Dz. U. z 2025 r. poz. 132 i 620).</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tytuł egzekucyjny został wystawiony przeciwko podmiotowi wykreślonemu z Rejestru, sąd na wniosek wierzyciela nadaje klauzulę wykonalności przeciwko Skarbowi Państwa. Przepis </w:t>
      </w:r>
      <w:r>
        <w:rPr>
          <w:rFonts w:ascii="Times New Roman"/>
          <w:b w:val="false"/>
          <w:i w:val="false"/>
          <w:color w:val="1b1b1b"/>
          <w:sz w:val="24"/>
          <w:lang w:val="pl-PL"/>
        </w:rPr>
        <w:t>art. 792</w:t>
      </w:r>
      <w:r>
        <w:rPr>
          <w:rFonts w:ascii="Times New Roman"/>
          <w:b w:val="false"/>
          <w:i w:val="false"/>
          <w:color w:val="000000"/>
          <w:sz w:val="24"/>
          <w:lang w:val="pl-PL"/>
        </w:rPr>
        <w:t xml:space="preserve"> Kodeksu postępowania cywilnego stosuje się odpowiednio.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Wierzyciel, któremu przysługuje należność podlegająca egzekucji administracyjnej, w tym Skarb Państwa, wystawia tytuł wykonawczy przeciwko Skarbowi Państwa. Jeżeli tytuł wykonawczy został wystawiony przeciwko podmiotowi wykreślonemu z Rejestru, wierzyciel wystawia nowy tytuł wykonawczy przeciwko Skarbowi Państwa i kieruje go do organu egzekucyjnego bez potrzeby dołączania dokumentu wykazującego przejście dochodzonego obowiązku na następcę prawnego. Tytuł wykonawczy wystawiony przeciwko Skarbowi Państwa stanowi podstawę do kontynuowania postępowania egzekucyjnego wszczętego wobec podmiotu wykreślonego z Rejestru, a dokonane czynności egzekucyjne pozostają w mocy.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podmiotem wykreślonym z Rejestru jest spółdzielnia mieszkaniowa z chwilą nabycia przez Skarb Państwa jej mienia spółdzielcze lokatorskie prawo do lokalu mieszkalnego przekształca się w prawo najmu podlegające przepisom </w:t>
      </w:r>
      <w:r>
        <w:rPr>
          <w:rFonts w:ascii="Times New Roman"/>
          <w:b w:val="false"/>
          <w:i w:val="false"/>
          <w:color w:val="1b1b1b"/>
          <w:sz w:val="24"/>
          <w:lang w:val="pl-PL"/>
        </w:rPr>
        <w:t>ustawy</w:t>
      </w:r>
      <w:r>
        <w:rPr>
          <w:rFonts w:ascii="Times New Roman"/>
          <w:b w:val="false"/>
          <w:i w:val="false"/>
          <w:color w:val="000000"/>
          <w:sz w:val="24"/>
          <w:lang w:val="pl-PL"/>
        </w:rPr>
        <w:t xml:space="preserve"> z dnia 21 czerwca 2001 r. o ochronie praw lokatorów, mieszkaniowym zasobie gminy i o zmianie Kodeksu cywilnego (Dz. U. z 2023 r. poz. 725), a spółdzielcze własnościowe prawo do lokalu przekształca się w prawo odrębnej własności lokalu lub we własność domu jednorodzinnego.</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osoby, która na podstawie </w:t>
      </w:r>
      <w:r>
        <w:rPr>
          <w:rFonts w:ascii="Times New Roman"/>
          <w:b w:val="false"/>
          <w:i w:val="false"/>
          <w:color w:val="1b1b1b"/>
          <w:sz w:val="24"/>
          <w:lang w:val="pl-PL"/>
        </w:rPr>
        <w:t>ust. 8</w:t>
      </w:r>
      <w:r>
        <w:rPr>
          <w:rFonts w:ascii="Times New Roman"/>
          <w:b w:val="false"/>
          <w:i w:val="false"/>
          <w:color w:val="000000"/>
          <w:sz w:val="24"/>
          <w:lang w:val="pl-PL"/>
        </w:rPr>
        <w:t xml:space="preserve">, nabyła odrębną własność lokalu albo własność domu jednorodzinnego, lub innej osoby mającej w tym interes prawny, sąd stwierdza nabycie tego prawa w postępowaniu nieprocesowym. Postanowienie o stwierdzeniu nabycia prawa odrębnej własności lokalu ustala wielkość udziału właściciela w nieruchomości wspólnej zgodnie z uchwałą zarządu spółdzielni mieszkaniowej, o której mowa w </w:t>
      </w:r>
      <w:r>
        <w:rPr>
          <w:rFonts w:ascii="Times New Roman"/>
          <w:b w:val="false"/>
          <w:i w:val="false"/>
          <w:color w:val="1b1b1b"/>
          <w:sz w:val="24"/>
          <w:lang w:val="pl-PL"/>
        </w:rPr>
        <w:t>art. 42 ust. 2-5</w:t>
      </w:r>
      <w:r>
        <w:rPr>
          <w:rFonts w:ascii="Times New Roman"/>
          <w:b w:val="false"/>
          <w:i w:val="false"/>
          <w:color w:val="000000"/>
          <w:sz w:val="24"/>
          <w:lang w:val="pl-PL"/>
        </w:rPr>
        <w:t xml:space="preserve"> ustawy z dnia 15 grudnia 2000 r. o spółdzielniach mieszkaniowych (Dz. U. z 2024 r. poz. 558), a w przypadku jej braku - zgodnie z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czerwca 1994 r. o własności lokali (Dz. U. z 2021 r. poz. 1048 oraz z 2023 r. poz. 1688).</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Nabycie przez Skarb Państwa własności nieruchomości albo użytkowania wieczystego stwierdza, w drodze decyzji, starosta właściwy ze względu na miejsce położenia nieruchomości. Użytkowanie wieczyste ustanowione na nieruchomości, której właścicielem jest Skarb Państwa, nie wygasa. Jeżeli nie ma praw obciążających użytkowanie wieczyste lub prawa takie wygasły, ani nie zostało wszczęte postępowanie w celu dochodzenia lub zaspokojenia roszczeń określonych w </w:t>
      </w:r>
      <w:r>
        <w:rPr>
          <w:rFonts w:ascii="Times New Roman"/>
          <w:b w:val="false"/>
          <w:i w:val="false"/>
          <w:color w:val="1b1b1b"/>
          <w:sz w:val="24"/>
          <w:lang w:val="pl-PL"/>
        </w:rPr>
        <w:t>ust. 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xml:space="preserve">, Skarb Państwa może złożyć wniosek o wykreślenie prawa użytkowania wieczystego z księgi wieczystej. Do wniosku należy dołączyć zaświadczenie starosty o wygaśnięciu lub nieistnieniu praw obciążających użytkowanie wieczyste oraz o nieistnieniu lub wygaśnięciu roszczeń określonych w </w:t>
      </w:r>
      <w:r>
        <w:rPr>
          <w:rFonts w:ascii="Times New Roman"/>
          <w:b w:val="false"/>
          <w:i w:val="false"/>
          <w:color w:val="1b1b1b"/>
          <w:sz w:val="24"/>
          <w:lang w:val="pl-PL"/>
        </w:rPr>
        <w:t>ust. 3</w:t>
      </w:r>
      <w:r>
        <w:rPr>
          <w:rFonts w:ascii="Times New Roman"/>
          <w:b w:val="false"/>
          <w:i w:val="false"/>
          <w:color w:val="000000"/>
          <w:sz w:val="24"/>
          <w:lang w:val="pl-PL"/>
        </w:rPr>
        <w:t xml:space="preserve"> lub </w:t>
      </w:r>
      <w:r>
        <w:rPr>
          <w:rFonts w:ascii="Times New Roman"/>
          <w:b w:val="false"/>
          <w:i w:val="false"/>
          <w:color w:val="1b1b1b"/>
          <w:sz w:val="24"/>
          <w:lang w:val="pl-PL"/>
        </w:rPr>
        <w:t>4</w:t>
      </w:r>
      <w:r>
        <w:rPr>
          <w:rFonts w:ascii="Times New Roman"/>
          <w:b w:val="false"/>
          <w:i w:val="false"/>
          <w:color w:val="000000"/>
          <w:sz w:val="24"/>
          <w:lang w:val="pl-PL"/>
        </w:rPr>
        <w:t>. Użytkowanie wieczyste wygasa z chwilą uprawomocnienia się wpisu o wykreśleniu.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postępowaniach dotyczących mienia i zobowiązań,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oraz w innych sprawach dotyczących gospodarowania tym mieniem Skarb Państwa jest reprezentowany przez starostę, wykonującego zadania z zakresu administracji rządowej, właściwego ze względu na ostatnią siedzibę podmiotu, o którym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Jeżeli umowa lub statut osoby prawnej określa przeznaczenie majątku pozostałego po jej likwidacji, a przepisy szczególne przewidują taką możliwość, starosta właściwy ze względu na siedzibę osoby prawnej przekazuje mienie nabyte przez Skarb Państwa na określony cel w terminie roku od ujawnienia się tego majątku.</w:t>
      </w:r>
    </w:p>
    <w:p>
      <w:pPr>
        <w:spacing w:before="80" w:after="0"/>
        <w:ind w:left="0"/>
        <w:jc w:val="left"/>
        <w:textAlignment w:val="auto"/>
      </w:pPr>
      <w:r>
        <w:rPr>
          <w:rFonts w:ascii="Times New Roman"/>
          <w:b/>
          <w:i w:val="false"/>
          <w:color w:val="000000"/>
          <w:sz w:val="24"/>
          <w:lang w:val="pl-PL"/>
        </w:rPr>
        <w:t>Art. 26.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27.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28.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29.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30.</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33.</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[Obowiązek oznaczenia pism podmiotów wpisanych do Rejestru. Grzywna za niewykonanie tego obowiązku]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Podmioty wpisane do Rejestru są obowiązane umieszczać w oświadczeniach pisemnych, skierowanych, w zakresie swojej działalności, do oznaczonych osób i organów,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firmę lub nazwę;</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formy prawnej wykonywanej działalności;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siedzibę i adres;</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NIP;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oznaczenie sądu rejestrowego, w którym przechowywane są akta rejestrowe podmiotu oraz numer podmiotu w Rejestrze.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Obowiązek, o którym mowa w </w:t>
      </w:r>
      <w:r>
        <w:rPr>
          <w:rFonts w:ascii="Times New Roman"/>
          <w:b w:val="false"/>
          <w:i w:val="false"/>
          <w:color w:val="1b1b1b"/>
          <w:sz w:val="24"/>
          <w:lang w:val="pl-PL"/>
        </w:rPr>
        <w:t>ust. 1</w:t>
      </w:r>
      <w:r>
        <w:rPr>
          <w:rFonts w:ascii="Times New Roman"/>
          <w:b w:val="false"/>
          <w:i w:val="false"/>
          <w:color w:val="000000"/>
          <w:sz w:val="24"/>
          <w:lang w:val="pl-PL"/>
        </w:rPr>
        <w:t>, nie uchybia obowiązkom określonym w przepisach szczególnych.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niewykonania obowiązku, o którym mowa w </w:t>
      </w:r>
      <w:r>
        <w:rPr>
          <w:rFonts w:ascii="Times New Roman"/>
          <w:b w:val="false"/>
          <w:i w:val="false"/>
          <w:color w:val="1b1b1b"/>
          <w:sz w:val="24"/>
          <w:lang w:val="pl-PL"/>
        </w:rPr>
        <w:t>ust. 1</w:t>
      </w:r>
      <w:r>
        <w:rPr>
          <w:rFonts w:ascii="Times New Roman"/>
          <w:b w:val="false"/>
          <w:i w:val="false"/>
          <w:color w:val="000000"/>
          <w:sz w:val="24"/>
          <w:lang w:val="pl-PL"/>
        </w:rPr>
        <w:t>, sąd rejestrowy, który stwierdzi niedopełnienie takiego obowiązku, może nałożyć grzywnę na osoby odpowiedzialne za niewykonanie tego obowiązku.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Grzywna, o której mowa w </w:t>
      </w:r>
      <w:r>
        <w:rPr>
          <w:rFonts w:ascii="Times New Roman"/>
          <w:b w:val="false"/>
          <w:i w:val="false"/>
          <w:color w:val="1b1b1b"/>
          <w:sz w:val="24"/>
          <w:lang w:val="pl-PL"/>
        </w:rPr>
        <w:t>ust. 3</w:t>
      </w:r>
      <w:r>
        <w:rPr>
          <w:rFonts w:ascii="Times New Roman"/>
          <w:b w:val="false"/>
          <w:i w:val="false"/>
          <w:color w:val="000000"/>
          <w:sz w:val="24"/>
          <w:lang w:val="pl-PL"/>
        </w:rPr>
        <w:t>, nie może być wyższa niż 5000 złotych.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Obowiązek, o którym mowa w </w:t>
      </w:r>
      <w:r>
        <w:rPr>
          <w:rFonts w:ascii="Times New Roman"/>
          <w:b w:val="false"/>
          <w:i w:val="false"/>
          <w:color w:val="1b1b1b"/>
          <w:sz w:val="24"/>
          <w:lang w:val="pl-PL"/>
        </w:rPr>
        <w:t>ust. 1</w:t>
      </w:r>
      <w:r>
        <w:rPr>
          <w:rFonts w:ascii="Times New Roman"/>
          <w:b w:val="false"/>
          <w:i w:val="false"/>
          <w:color w:val="000000"/>
          <w:sz w:val="24"/>
          <w:lang w:val="pl-PL"/>
        </w:rPr>
        <w:t>, nie dotyczy oświadczeń woli skierowanych do osób pozostających ze spółką w stałych stosunkach umownych.</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[Określenie podmiotu w Rejestrze]</w:t>
      </w:r>
    </w:p>
    <w:p>
      <w:pPr>
        <w:spacing w:after="0"/>
        <w:ind w:left="0"/>
        <w:jc w:val="left"/>
        <w:textAlignment w:val="auto"/>
      </w:pPr>
      <w:r>
        <w:rPr>
          <w:rFonts w:ascii="Times New Roman"/>
          <w:b w:val="false"/>
          <w:i w:val="false"/>
          <w:color w:val="000000"/>
          <w:sz w:val="24"/>
          <w:lang w:val="pl-PL"/>
        </w:rPr>
        <w:t>Ilekroć do Rejestru wpisuje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osobę fizyczną - zamieszcza się nazwisko i imię (imiona) oraz numer PESEL; w przypadku gdy osoba, której dane zamieszcza się w Rejestrze, nie ma obowiązku posiadania numeru PESEL, zamieszcza się nazwisko i imię (imiona) oraz datę urodzenia lub, w przypadkach, o których mowa w </w:t>
      </w:r>
      <w:r>
        <w:rPr>
          <w:rFonts w:ascii="Times New Roman"/>
          <w:b w:val="false"/>
          <w:i w:val="false"/>
          <w:color w:val="1b1b1b"/>
          <w:sz w:val="24"/>
          <w:lang w:val="pl-PL"/>
        </w:rPr>
        <w:t>art. 21d ust. 1 pkt 5 lit. e</w:t>
      </w:r>
      <w:r>
        <w:rPr>
          <w:rFonts w:ascii="Times New Roman"/>
          <w:b w:val="false"/>
          <w:i w:val="false"/>
          <w:color w:val="000000"/>
          <w:sz w:val="24"/>
          <w:lang w:val="pl-PL"/>
        </w:rPr>
        <w:t xml:space="preserve"> i </w:t>
      </w:r>
      <w:r>
        <w:rPr>
          <w:rFonts w:ascii="Times New Roman"/>
          <w:b w:val="false"/>
          <w:i w:val="false"/>
          <w:color w:val="1b1b1b"/>
          <w:sz w:val="24"/>
          <w:lang w:val="pl-PL"/>
        </w:rPr>
        <w:t>f</w:t>
      </w:r>
      <w:r>
        <w:rPr>
          <w:rFonts w:ascii="Times New Roman"/>
          <w:b w:val="false"/>
          <w:i w:val="false"/>
          <w:color w:val="000000"/>
          <w:sz w:val="24"/>
          <w:lang w:val="pl-PL"/>
        </w:rPr>
        <w:t>, nazwisko i imię (imiona) oraz datę urodzenia lub krajowy numer identyfikacyjny, udostępnione za pośrednictwem systemu integracji rejestrów;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inny podmiot niż określony w </w:t>
      </w:r>
      <w:r>
        <w:rPr>
          <w:rFonts w:ascii="Times New Roman"/>
          <w:b w:val="false"/>
          <w:i w:val="false"/>
          <w:color w:val="1b1b1b"/>
          <w:sz w:val="24"/>
          <w:lang w:val="pl-PL"/>
        </w:rPr>
        <w:t>pkt 1</w:t>
      </w:r>
      <w:r>
        <w:rPr>
          <w:rFonts w:ascii="Times New Roman"/>
          <w:b w:val="false"/>
          <w:i w:val="false"/>
          <w:color w:val="000000"/>
          <w:sz w:val="24"/>
          <w:lang w:val="pl-PL"/>
        </w:rPr>
        <w:t xml:space="preserve"> - zamieszcza się nazwę lub firmę oraz numer identyfikacyjny REGON, a gdy podmiot powstał w wyniku przekształcenia - NIP podmiotu przekształcanego, a jeżeli podmiot jest zarejestrowany w Rejestrze - także jego numer w Rejestrze; w przypadku gdy podmiot, którego dane zamieszcza się w Rejestrze, jest przedsiębiorcą zagranicznym objętym systemem integracji rejestrów będącym komplementariuszem spółki komandytowo-akcyjnej, zamieszcza się - numer podmiotu w rejestrze, nazwę tego rejestru i oznaczenie państwa, w którym zarejestrowano podmiot, a jeżeli przedsiębiorca zagraniczny nie jest objęty tym systemem - jego numer w rejestrze, o ile przedsiębiorca podlega wpisowi do rejestru;</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37</w:t>
      </w:r>
      <w:r>
        <w:rPr>
          <w:rFonts w:ascii="Times New Roman"/>
          <w:b w:val="false"/>
          <w:i w:val="false"/>
          <w:color w:val="000000"/>
          <w:sz w:val="24"/>
          <w:lang w:val="pl-PL"/>
        </w:rPr>
        <w:t xml:space="preserve"> </w:t>
      </w:r>
      <w:r>
        <w:rPr>
          <w:rFonts w:ascii="Times New Roman"/>
          <w:b w:val="false"/>
          <w:i w:val="false"/>
          <w:color w:val="000000"/>
          <w:sz w:val="24"/>
          <w:lang w:val="pl-PL"/>
        </w:rPr>
        <w:t xml:space="preserve">siedzibę i adres podmiotu - zamieszcza się dane obejmujące: województwo, powiat, gminę, miejscowość, ulicę, miejscowość poczty zgodnie z rejestrem TERYT w rozumieniu </w:t>
      </w:r>
      <w:r>
        <w:rPr>
          <w:rFonts w:ascii="Times New Roman"/>
          <w:b w:val="false"/>
          <w:i w:val="false"/>
          <w:color w:val="1b1b1b"/>
          <w:sz w:val="24"/>
          <w:lang w:val="pl-PL"/>
        </w:rPr>
        <w:t>art. 2 pkt 12b</w:t>
      </w:r>
      <w:r>
        <w:rPr>
          <w:rFonts w:ascii="Times New Roman"/>
          <w:b w:val="false"/>
          <w:i w:val="false"/>
          <w:color w:val="000000"/>
          <w:sz w:val="24"/>
          <w:lang w:val="pl-PL"/>
        </w:rPr>
        <w:t xml:space="preserve"> ustawy z dnia 29 czerwca 1995 r. o statystyce publicznej, z wyjątkiem przypadku, gdy nazwa miejscowości stosowana w obrocie nie jest zgodna z jej nazwą urzędową;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adres do doręczeń elektronicznych - zamieszcza się adres do doręczeń elektronicznych, a w przypadku gdy podmiot posiada więcej niż jeden adres do doręczeń elektronicznych - główny adres do doręczeń elektronicznych, o którym mowa w </w:t>
      </w:r>
      <w:r>
        <w:rPr>
          <w:rFonts w:ascii="Times New Roman"/>
          <w:b w:val="false"/>
          <w:i w:val="false"/>
          <w:color w:val="1b1b1b"/>
          <w:sz w:val="24"/>
          <w:lang w:val="pl-PL"/>
        </w:rPr>
        <w:t>art. 32 ust. 4</w:t>
      </w:r>
      <w:r>
        <w:rPr>
          <w:rFonts w:ascii="Times New Roman"/>
          <w:b w:val="false"/>
          <w:i w:val="false"/>
          <w:color w:val="000000"/>
          <w:sz w:val="24"/>
          <w:lang w:val="pl-PL"/>
        </w:rPr>
        <w:t xml:space="preserve"> ustawy z dnia 18 listopada 2020 r. o doręczeniach elektronicznych.</w:t>
      </w:r>
    </w:p>
    <w:p>
      <w:pPr>
        <w:spacing w:before="80" w:after="0"/>
        <w:ind w:left="0"/>
        <w:jc w:val="left"/>
        <w:textAlignment w:val="auto"/>
      </w:pPr>
      <w:r>
        <w:rPr>
          <w:rFonts w:ascii="Times New Roman"/>
          <w:b/>
          <w:i w:val="false"/>
          <w:color w:val="000000"/>
          <w:sz w:val="24"/>
          <w:lang w:val="pl-PL"/>
        </w:rPr>
        <w:t xml:space="preserve"> Art. 35a.</w:t>
      </w:r>
      <w:r>
        <w:rPr>
          <w:rFonts w:ascii="Times New Roman"/>
          <w:b/>
          <w:i w:val="false"/>
          <w:color w:val="000000"/>
          <w:sz w:val="24"/>
          <w:lang w:val="pl-PL"/>
        </w:rPr>
        <w:t xml:space="preserve"> [Delegacja ustawowa do określenia sposobu prowadzenia rejestrów wchodzących w skład Rejestru oraz treści wpisów w tych rejestrach]</w:t>
      </w:r>
    </w:p>
    <w:p>
      <w:pPr>
        <w:spacing w:after="0"/>
        <w:ind w:left="0"/>
        <w:jc w:val="left"/>
        <w:textAlignment w:val="auto"/>
      </w:pPr>
      <w:r>
        <w:rPr>
          <w:rFonts w:ascii="Times New Roman"/>
          <w:b w:val="false"/>
          <w:i w:val="false"/>
          <w:color w:val="000000"/>
          <w:sz w:val="24"/>
          <w:lang w:val="pl-PL"/>
        </w:rPr>
        <w:t>Minister Sprawiedliwości określi, w drodze rozporządzenia, szczegółowy sposób prowadzenia rejestru przedsiębiorców, rejestru stowarzyszeń, innych organizacji społecznych i zawodowych, fundacji oraz samodzielnych publicznych zakładów opieki zdrowotnej, rejestru dłużników niewypłacalnych oraz szczegółową treść wpisów w tych rejestrach, uwzględniając konieczność zapewnienia kompletności danych zawartych w rejestrach i potrzebę zapewnienia ich przejrzystości.</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Rejestr przedsiębiorców</w:t>
      </w:r>
    </w:p>
    <w:p>
      <w:pPr>
        <w:spacing w:before="80" w:after="0"/>
        <w:ind w:left="0"/>
        <w:jc w:val="left"/>
        <w:textAlignment w:val="auto"/>
      </w:pPr>
      <w:r>
        <w:rPr>
          <w:rFonts w:ascii="Times New Roman"/>
          <w:b/>
          <w:i w:val="false"/>
          <w:color w:val="000000"/>
          <w:sz w:val="24"/>
          <w:lang w:val="pl-PL"/>
        </w:rPr>
        <w:t xml:space="preserve"> Art. 36.</w:t>
      </w:r>
      <w:r>
        <w:rPr>
          <w:rFonts w:ascii="Times New Roman"/>
          <w:b/>
          <w:i w:val="false"/>
          <w:color w:val="000000"/>
          <w:sz w:val="24"/>
          <w:lang w:val="pl-PL"/>
        </w:rPr>
        <w:t xml:space="preserve"> [Podmioty podlegające wpisowi do rejestru przedsiębiorców]</w:t>
      </w:r>
    </w:p>
    <w:p>
      <w:pPr>
        <w:spacing w:after="0"/>
        <w:ind w:left="0"/>
        <w:jc w:val="left"/>
        <w:textAlignment w:val="auto"/>
      </w:pPr>
      <w:r>
        <w:rPr>
          <w:rFonts w:ascii="Times New Roman"/>
          <w:b w:val="false"/>
          <w:i w:val="false"/>
          <w:color w:val="000000"/>
          <w:sz w:val="24"/>
          <w:lang w:val="pl-PL"/>
        </w:rPr>
        <w:t>Przepisy niniejszego rozdziału stosuje się do następujących podmiotów: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spółek jawnych;</w:t>
      </w: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europejskich zgrupowań interesów gospodarczych;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spółek partnerskich;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spółek komandytowych;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spółek komandytowo-akcyjnych;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spółek z ograniczoną odpowiedzialnością;</w:t>
      </w:r>
    </w:p>
    <w:p>
      <w:pPr>
        <w:spacing w:before="26" w:after="0"/>
        <w:ind w:left="373"/>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prostych spółek akcyjnych;</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spółek akcyjnych;</w:t>
      </w:r>
    </w:p>
    <w:p>
      <w:pPr>
        <w:spacing w:before="26" w:after="0"/>
        <w:ind w:left="373"/>
        <w:jc w:val="left"/>
        <w:textAlignment w:val="auto"/>
      </w:pPr>
      <w:r>
        <w:rPr>
          <w:rFonts w:ascii="Times New Roman"/>
          <w:b w:val="false"/>
          <w:i w:val="false"/>
          <w:color w:val="000000"/>
          <w:sz w:val="24"/>
          <w:lang w:val="pl-PL"/>
        </w:rPr>
        <w:t>7a)</w:t>
      </w:r>
      <w:r>
        <w:rPr>
          <w:rFonts w:ascii="Times New Roman"/>
          <w:b w:val="false"/>
          <w:i w:val="false"/>
          <w:color w:val="000000"/>
          <w:sz w:val="24"/>
          <w:lang w:val="pl-PL"/>
        </w:rPr>
        <w:t xml:space="preserve"> </w:t>
      </w:r>
      <w:r>
        <w:rPr>
          <w:rFonts w:ascii="Times New Roman"/>
          <w:b w:val="false"/>
          <w:i w:val="false"/>
          <w:color w:val="000000"/>
          <w:sz w:val="24"/>
          <w:lang w:val="pl-PL"/>
        </w:rPr>
        <w:t>spółek europejskich;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spółdzielni;</w:t>
      </w:r>
    </w:p>
    <w:p>
      <w:pPr>
        <w:spacing w:before="26" w:after="0"/>
        <w:ind w:left="373"/>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t>
      </w:r>
      <w:r>
        <w:rPr>
          <w:rFonts w:ascii="Times New Roman"/>
          <w:b w:val="false"/>
          <w:i w:val="false"/>
          <w:color w:val="000000"/>
          <w:sz w:val="24"/>
          <w:lang w:val="pl-PL"/>
        </w:rPr>
        <w:t>spółdzielni europejskich;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przedsiębiorstw państwowych;</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instytutów badawczych i instytutów działających w ramach Sieci Badawczej Łukasiewicz;</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towarzystw ubezpieczeń wzajemnych;</w:t>
      </w:r>
    </w:p>
    <w:p>
      <w:pPr>
        <w:spacing w:before="26" w:after="0"/>
        <w:ind w:left="373"/>
        <w:jc w:val="left"/>
        <w:textAlignment w:val="auto"/>
      </w:pPr>
      <w:r>
        <w:rPr>
          <w:rFonts w:ascii="Times New Roman"/>
          <w:b w:val="false"/>
          <w:i w:val="false"/>
          <w:color w:val="000000"/>
          <w:sz w:val="24"/>
          <w:lang w:val="pl-PL"/>
        </w:rPr>
        <w:t>12a)</w:t>
      </w:r>
      <w:r>
        <w:rPr>
          <w:rFonts w:ascii="Times New Roman"/>
          <w:b w:val="false"/>
          <w:i w:val="false"/>
          <w:color w:val="000000"/>
          <w:sz w:val="24"/>
          <w:lang w:val="pl-PL"/>
        </w:rPr>
        <w:t xml:space="preserve"> </w:t>
      </w:r>
      <w:r>
        <w:rPr>
          <w:rFonts w:ascii="Times New Roman"/>
          <w:b w:val="false"/>
          <w:i w:val="false"/>
          <w:color w:val="000000"/>
          <w:sz w:val="24"/>
          <w:lang w:val="pl-PL"/>
        </w:rPr>
        <w:t>towarzystw reasekuracji wzajemnej;</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innych osób prawnych, jeżeli wykonują działalność gospodarczą i podlegają obowiązkowi wpisu do rejestru, o którym mowa w </w:t>
      </w:r>
      <w:r>
        <w:rPr>
          <w:rFonts w:ascii="Times New Roman"/>
          <w:b w:val="false"/>
          <w:i w:val="false"/>
          <w:color w:val="1b1b1b"/>
          <w:sz w:val="24"/>
          <w:lang w:val="pl-PL"/>
        </w:rPr>
        <w:t>art. 1 ust. 2 pkt 2</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oddziałów przedsiębiorców zagranicznych działających na terytorium Rzeczypospolitej Polskiej;</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głównych oddziałów zagranicznych zakładów ubezpieczeń;</w:t>
      </w: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głównych oddziałów zagranicznych zakładów reasekuracji;</w:t>
      </w: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instytucji gospodarki budżetowej.</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[Sposób umieszczania danych w rejestrze przedsiębiorców]</w:t>
      </w:r>
    </w:p>
    <w:p>
      <w:pPr>
        <w:spacing w:after="0"/>
        <w:ind w:left="0"/>
        <w:jc w:val="left"/>
        <w:textAlignment w:val="auto"/>
      </w:pPr>
      <w:r>
        <w:rPr>
          <w:rFonts w:ascii="Times New Roman"/>
          <w:b w:val="false"/>
          <w:i w:val="false"/>
          <w:color w:val="000000"/>
          <w:sz w:val="24"/>
          <w:lang w:val="pl-PL"/>
        </w:rPr>
        <w:t>Dane dotyczące poszczególnych przedsiębiorców wpisanych do rejestru przedsiębiorców umieszcza się pod numerem przeznaczonym dla danego podmiotu w sześciu działach tego rejestru.</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[Dane podlegające zamieszczeniu w dziale 1 rejestru przedsiębiorców]</w:t>
      </w:r>
    </w:p>
    <w:p>
      <w:pPr>
        <w:spacing w:after="0"/>
        <w:ind w:left="0"/>
        <w:jc w:val="left"/>
        <w:textAlignment w:val="auto"/>
      </w:pPr>
      <w:r>
        <w:rPr>
          <w:rFonts w:ascii="Times New Roman"/>
          <w:b w:val="false"/>
          <w:i w:val="false"/>
          <w:color w:val="000000"/>
          <w:sz w:val="24"/>
          <w:lang w:val="pl-PL"/>
        </w:rPr>
        <w:t>W dziale 1 rejestru przedsiębiorców zamieszcza się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dla każdego podmiotu:</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nazwę lub firmę, pod którą działa,</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oznaczenie jego formy prawnej,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jego siedzibę i adres, a także adres do doręczeń elektronicznych wpisany do bazy adresów elektronicznych,</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podmiot wpisany do rejestru przedsiębiorców posiada oddziały - także ich siedziby i adresy, a w przypadku oddziału spółki, o której mowa w </w:t>
      </w:r>
      <w:r>
        <w:rPr>
          <w:rFonts w:ascii="Times New Roman"/>
          <w:b w:val="false"/>
          <w:i w:val="false"/>
          <w:color w:val="1b1b1b"/>
          <w:sz w:val="24"/>
          <w:lang w:val="pl-PL"/>
        </w:rPr>
        <w:t>art. 4a pkt 1</w:t>
      </w:r>
      <w:r>
        <w:rPr>
          <w:rFonts w:ascii="Times New Roman"/>
          <w:b w:val="false"/>
          <w:i w:val="false"/>
          <w:color w:val="000000"/>
          <w:sz w:val="24"/>
          <w:lang w:val="pl-PL"/>
        </w:rPr>
        <w:t>, utworzonego w innym państwie członkowskim Unii Europejskiej lub państwie członkowskim Europejskiego Porozumienia o Wolnym Handlu (EFTA) - stronie umowy o Europejskim Obszarze Gospodarczym - także numer oddziału w rejestrze oraz nazwę tego rejestru,</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oznaczenie jego poprzedniego numeru rejestru sądowego,</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jeżeli podmiot wpisany do rejestru przedsiębiorców utworzony został w wyniku przekształcenia lub podziału innego podmiotu albo połączenia innych podmiotów, zamieszcza się w tym rejestrze wzmiankę o sposobie powstania podmiotu, a także oznaczenia poprzednich numerów rejestru. Jeżeli podmiot wpisany do rejestru przedsiębiorców utworzony został w wyniku koncentracji innych podmiotów, zamieszcza się w tym rejestrze także oznaczenie poprzednich numerów tego rejestru oraz numer i datę decyzji Prezesa Urzędu Ochrony Konkurencji i Konsumentów o zgodzie na dokonanie koncentracji, wydanej zgodnie z przepisami o ochronie konkurencji i konsumentów,</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wzmiankę o wykonywaniu działalności gospodarczej z innymi podmiotami na podstawie umowy spółki cywilnej,</w:t>
      </w:r>
    </w:p>
    <w:p>
      <w:pPr>
        <w:spacing w:after="0"/>
        <w:ind w:left="746"/>
        <w:jc w:val="left"/>
        <w:textAlignment w:val="auto"/>
      </w:pPr>
      <w:r>
        <w:rPr>
          <w:rFonts w:ascii="Times New Roman"/>
          <w:b w:val="false"/>
          <w:i w:val="false"/>
          <w:color w:val="000000"/>
          <w:sz w:val="24"/>
          <w:lang w:val="pl-PL"/>
        </w:rPr>
        <w:t>ga)</w:t>
      </w:r>
      <w:r>
        <w:rPr>
          <w:rFonts w:ascii="Times New Roman"/>
          <w:b w:val="false"/>
          <w:i w:val="false"/>
          <w:color w:val="000000"/>
          <w:sz w:val="24"/>
          <w:lang w:val="pl-PL"/>
        </w:rPr>
        <w:t xml:space="preserve"> </w:t>
      </w:r>
      <w:r>
        <w:rPr>
          <w:rFonts w:ascii="Times New Roman"/>
          <w:b w:val="false"/>
          <w:i w:val="false"/>
          <w:color w:val="000000"/>
          <w:sz w:val="24"/>
          <w:lang w:val="pl-PL"/>
        </w:rPr>
        <w:t>wzmiankę o uczestnictwie spółki lub innego przedsiębiorcy w oznaczonej grupie spółek ze wskazaniem charakteru tego uczestnictwa, w tym dane spółki dominującej albo podmiotu, do którego stosuje się przepisy o spółce dominującej, albo dane spółki zależnej,</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NIP albo informację o jego unieważnieniu lub uchyleniu;</w:t>
      </w: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w przypadku gdy podmiot je posiada - adres strony internetowej i adres poczty elektronicznej;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w przypadku wspólników spółki jawnej, członków europejskiego zgrupowania interesów gospodarczych, wspólników spółki partnerskiej, wspólników spółki komandytowej oraz komplementariuszy spółki komandytowo-akcyjnej - informacje o pozostawaniu w związku małżeńskim, zawarciu małżeńskiej umowy majątkowej, powstaniu rozdzielności majątkowej między małżonkami, zaznaczenie ograniczenia zdolności do czynności prawnych, o ile takie istnieje;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przypadku podmiotu niebędącego osobą fizyczną - informacje o statucie lub umowie, wzmiankę o ich zmianie, okres, na który podmiot został utworzony, oraz jego numer identyfikacyjny REGON;</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jawnej: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oznaczenie wspólników spółki jawnej, zgodnie z </w:t>
      </w:r>
      <w:r>
        <w:rPr>
          <w:rFonts w:ascii="Times New Roman"/>
          <w:b w:val="false"/>
          <w:i w:val="false"/>
          <w:color w:val="1b1b1b"/>
          <w:sz w:val="24"/>
          <w:lang w:val="pl-PL"/>
        </w:rPr>
        <w:t>art. 35</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(uchylona)</w:t>
      </w: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w przypadku europejskiego zgrupowania interesów gospodarczych: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imię i nazwisko oraz miejsce zamieszkania lub oznaczenie nazwy, firmy, formy prawnej, siedziby statutowej oraz numeru i miejsca rejestracji członków europejskiego zgrupowania interesów gospodarczych,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wzmiankę o klauzulach zwalniających członka europejskiego zgrupowania interesów gospodarczych od odpowiedzialności za długi i inne zobowiązania powstałe przed jego przystąpieniem do zgrupowania;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partnerskiej: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oznaczenie partnerów, zgodnie z </w:t>
      </w:r>
      <w:r>
        <w:rPr>
          <w:rFonts w:ascii="Times New Roman"/>
          <w:b w:val="false"/>
          <w:i w:val="false"/>
          <w:color w:val="1b1b1b"/>
          <w:sz w:val="24"/>
          <w:lang w:val="pl-PL"/>
        </w:rPr>
        <w:t>art. 35</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(uchylona)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partnerów ponoszących odpowiedzialność zgodnie z </w:t>
      </w:r>
      <w:r>
        <w:rPr>
          <w:rFonts w:ascii="Times New Roman"/>
          <w:b w:val="false"/>
          <w:i w:val="false"/>
          <w:color w:val="1b1b1b"/>
          <w:sz w:val="24"/>
          <w:lang w:val="pl-PL"/>
        </w:rPr>
        <w:t>art. 95 § 2</w:t>
      </w:r>
      <w:r>
        <w:rPr>
          <w:rFonts w:ascii="Times New Roman"/>
          <w:b w:val="false"/>
          <w:i w:val="false"/>
          <w:color w:val="000000"/>
          <w:sz w:val="24"/>
          <w:lang w:val="pl-PL"/>
        </w:rPr>
        <w:t xml:space="preserve"> ustawy z dnia 15 września 2000 r. - Kodeks spółek handlowych - zaznaczenie tej okoliczności;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komandytowej: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oznaczenie wspólników spółki komandytowej, zgodnie z </w:t>
      </w:r>
      <w:r>
        <w:rPr>
          <w:rFonts w:ascii="Times New Roman"/>
          <w:b w:val="false"/>
          <w:i w:val="false"/>
          <w:color w:val="1b1b1b"/>
          <w:sz w:val="24"/>
          <w:lang w:val="pl-PL"/>
        </w:rPr>
        <w:t>art. 35</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(uchylona)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określenie, który ze wspólników jest komplementariuszem, a który komandytariuszem,</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wysokość sumy komandytowej,</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przedmiot wkładu każdego komandytariusza, z zaznaczeniem, w jakiej części został wniesiony, oraz zwroty wkładów choćby częściowe;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komandytowo-akcyjnej: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oznaczenie komplementariuszy spółki komandytowo-akcyjnej, zgodnie z </w:t>
      </w:r>
      <w:r>
        <w:rPr>
          <w:rFonts w:ascii="Times New Roman"/>
          <w:b w:val="false"/>
          <w:i w:val="false"/>
          <w:color w:val="1b1b1b"/>
          <w:sz w:val="24"/>
          <w:lang w:val="pl-PL"/>
        </w:rPr>
        <w:t>art. 35</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(uchylona)</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liczbę i wartość nominalną akcji,</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ilość akcji uprzywilejowanych i rodzaj uprzywilejowania,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wzmiankę, jaka część kapitału zakładowego została opłacona,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jeżeli przy zawiązaniu spółki akcjonariusze wnoszą wkłady niepieniężne - zaznaczenie tej okoliczności, z podaniem wartości nominalnej objętych w zamian za nie akcji,</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wzmiankę o uchwale o emisji obligacji zamiennych i akcji przyznawanych w zamian za te obligacje, wskazującą maksymalną wysokość podwyższenia kapitału zakładowego, a także wzmiankę o prawie obligatariuszy do udziału w zysku;</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z ograniczoną odpowiedzialnością:</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a jeżeli wspólnicy wnoszą wkłady niepieniężne - zaznaczenie tej okoliczności, z podaniem wartości objętych w zamian za nie udziałów,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określenie, czy wspólnik może mieć jeden czy większą liczbę udziałów,</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zgodnie z </w:t>
      </w:r>
      <w:r>
        <w:rPr>
          <w:rFonts w:ascii="Times New Roman"/>
          <w:b w:val="false"/>
          <w:i w:val="false"/>
          <w:color w:val="1b1b1b"/>
          <w:sz w:val="24"/>
          <w:lang w:val="pl-PL"/>
        </w:rPr>
        <w:t>art. 35</w:t>
      </w:r>
      <w:r>
        <w:rPr>
          <w:rFonts w:ascii="Times New Roman"/>
          <w:b w:val="false"/>
          <w:i w:val="false"/>
          <w:color w:val="000000"/>
          <w:sz w:val="24"/>
          <w:lang w:val="pl-PL"/>
        </w:rPr>
        <w:t>, oznaczenie wspólników posiadających samodzielnie lub łącznie z innymi co najmniej 10 % kapitału zakładowego oraz ilość posiadanych przez tych wspólników udziałów i łączną ich wysokość,</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jeżeli spółka ma tylko jednego wspólnika - wzmiankę, że jest on jedynym wspólnikiem spółki,</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jeżeli umowa wskazuje pismo przeznaczone do ogłoszeń spółki - oznaczenie tego pisma,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której umowa została zawarta przy wykorzystaniu wzorca umowy udostępnionego w systemie teleinformatycznym, w której wkłady na pokrycie kapitału zakładowego nie zostały wniesione - wzmiankę, że kapitał nie został pokryty,</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wzmiankę o prawie obligatariuszy do udziału w zysku;</w:t>
      </w:r>
    </w:p>
    <w:p>
      <w:pPr>
        <w:spacing w:before="26" w:after="0"/>
        <w:ind w:left="373"/>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t>
      </w:r>
      <w:r>
        <w:rPr>
          <w:rFonts w:ascii="Times New Roman"/>
          <w:b w:val="false"/>
          <w:i w:val="false"/>
          <w:color w:val="000000"/>
          <w:sz w:val="24"/>
          <w:lang w:val="pl-PL"/>
        </w:rPr>
        <w:t>w przypadku prostej spółki akcyjnej: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akcyjnego i liczbę akcji, a jeżeli akcjonariusze wnoszą wkłady niepieniężne - zaznaczenie tej okoliczności,</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wzmiankę o tym, czy zarząd jest upoważniony do emisji warrantów subskrypcyjnych,</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liczbę akcji uprzywilejowanych i rodzaj uprzywilejowania,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maksymalną liczbę akcji, które mogą być przedmiotem warunkowej emisji,</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wskazuje pismo przeznaczone do ogłoszeń spółki - oznaczenie tego pisma,</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jeżeli umowa spółki przewiduje przyznanie uprawnień indywidualnych określonym akcjonariuszom albo tytuły uczestnictwa w dochodach lub majątku spółki niewynikające z akcji - zaznaczenie tych okoliczności,</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spółka ma tylko jednego akcjonariusza - jego oznaczenie zgodnie z </w:t>
      </w:r>
      <w:r>
        <w:rPr>
          <w:rFonts w:ascii="Times New Roman"/>
          <w:b w:val="false"/>
          <w:i w:val="false"/>
          <w:color w:val="1b1b1b"/>
          <w:sz w:val="24"/>
          <w:lang w:val="pl-PL"/>
        </w:rPr>
        <w:t>art. 35</w:t>
      </w:r>
      <w:r>
        <w:rPr>
          <w:rFonts w:ascii="Times New Roman"/>
          <w:b w:val="false"/>
          <w:i w:val="false"/>
          <w:color w:val="000000"/>
          <w:sz w:val="24"/>
          <w:lang w:val="pl-PL"/>
        </w:rPr>
        <w:t>, a także wzmiankę o tym, że jest on jedynym akcjonariuszem spółki,</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wzmiankę o uchwale o emisji obligacji zamiennych i akcji przyznawanych w zamian za te obligacje, wskazującą maksymalną liczbę emitowanych akcji, a także wzmiankę o prawie obligatariuszy do udziału w zysku,</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maksymalną liczbę akcji, które mogą zostać wyemitowane z upoważnienia udzielonego zarządowi;</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akcyjnej: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liczbę i wartość nominalną akcji, a jeżeli akcjonariusze wnoszą wkłady niepieniężne - zaznaczenie tej okoliczności, z podaniem wartości nominalnej objętych w zamian za nie akcji,</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docelowego, jeżeli statut to przewiduje, i wzmiankę, czy zarząd jest upoważniony do emisji warrantów subskrypcyjnych,</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ilość akcji uprzywilejowanych i rodzaj uprzywilejowania,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wzmiankę, jaka część kapitału zakładowego została opłacona,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wartość nominalną warunkowego podwyższenia kapitału zakładowego,</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jeżeli statut wskazuje pismo przeznaczone do ogłoszeń spółki - oznaczenie tego pisma,</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jeżeli statut przewiduje przyznanie uprawnień osobistych określonym akcjonariuszom lub tytuły uczestnictwa w dochodach lub majątku spółki niewynikających z akcji - zaznaczenie tych okoliczności,</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spółka ma tylko jednego akcjonariusza - jego oznaczenie zgodnie z </w:t>
      </w:r>
      <w:r>
        <w:rPr>
          <w:rFonts w:ascii="Times New Roman"/>
          <w:b w:val="false"/>
          <w:i w:val="false"/>
          <w:color w:val="1b1b1b"/>
          <w:sz w:val="24"/>
          <w:lang w:val="pl-PL"/>
        </w:rPr>
        <w:t>art. 35</w:t>
      </w:r>
      <w:r>
        <w:rPr>
          <w:rFonts w:ascii="Times New Roman"/>
          <w:b w:val="false"/>
          <w:i w:val="false"/>
          <w:color w:val="000000"/>
          <w:sz w:val="24"/>
          <w:lang w:val="pl-PL"/>
        </w:rPr>
        <w:t>, a także wzmiankę, iż jest on jedynym akcjonariuszem spółki,</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wzmiankę o uchwale o emisji obligacji zamiennych i akcji przyznawanych w zamian za te obligacje, wskazującą maksymalną wysokość podwyższenia kapitału zakładowego, a także wzmiankę o prawie obligatariuszy do udziału w zysku,</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 xml:space="preserve">wartość nominalną podwyższenia kapitału zakładowego w wyniku zamiany obligacji kapitałowych, o których mowa w </w:t>
      </w:r>
      <w:r>
        <w:rPr>
          <w:rFonts w:ascii="Times New Roman"/>
          <w:b w:val="false"/>
          <w:i w:val="false"/>
          <w:color w:val="1b1b1b"/>
          <w:sz w:val="24"/>
          <w:lang w:val="pl-PL"/>
        </w:rPr>
        <w:t>art. 27a</w:t>
      </w:r>
      <w:r>
        <w:rPr>
          <w:rFonts w:ascii="Times New Roman"/>
          <w:b w:val="false"/>
          <w:i w:val="false"/>
          <w:color w:val="000000"/>
          <w:sz w:val="24"/>
          <w:lang w:val="pl-PL"/>
        </w:rPr>
        <w:t xml:space="preserve"> ustawy z dnia 15 stycznia 2015 r. o obligacjach (Dz. U. z 2024 r. poz. 708), na akcje,</w:t>
      </w:r>
    </w:p>
    <w:p>
      <w:pPr>
        <w:spacing w:after="0"/>
        <w:ind w:left="746"/>
        <w:jc w:val="left"/>
        <w:textAlignment w:val="auto"/>
      </w:pPr>
      <w:r>
        <w:rPr>
          <w:rFonts w:ascii="Times New Roman"/>
          <w:b w:val="false"/>
          <w:i w:val="false"/>
          <w:color w:val="000000"/>
          <w:sz w:val="24"/>
          <w:lang w:val="pl-PL"/>
        </w:rPr>
        <w:t>k)</w:t>
      </w:r>
      <w:r>
        <w:rPr>
          <w:rFonts w:ascii="Times New Roman"/>
          <w:b w:val="false"/>
          <w:i w:val="false"/>
          <w:color w:val="000000"/>
          <w:sz w:val="24"/>
          <w:lang w:val="pl-PL"/>
        </w:rPr>
        <w:t xml:space="preserve"> </w:t>
      </w:r>
      <w:r>
        <w:rPr>
          <w:rFonts w:ascii="Times New Roman"/>
          <w:b w:val="false"/>
          <w:i w:val="false"/>
          <w:color w:val="000000"/>
          <w:sz w:val="24"/>
          <w:lang w:val="pl-PL"/>
        </w:rPr>
        <w:t xml:space="preserve">wzmiankę o uchwale o emisji obligacji kapitałowych, o których mowa w </w:t>
      </w:r>
      <w:r>
        <w:rPr>
          <w:rFonts w:ascii="Times New Roman"/>
          <w:b w:val="false"/>
          <w:i w:val="false"/>
          <w:color w:val="1b1b1b"/>
          <w:sz w:val="24"/>
          <w:lang w:val="pl-PL"/>
        </w:rPr>
        <w:t>art. 27a</w:t>
      </w:r>
      <w:r>
        <w:rPr>
          <w:rFonts w:ascii="Times New Roman"/>
          <w:b w:val="false"/>
          <w:i w:val="false"/>
          <w:color w:val="000000"/>
          <w:sz w:val="24"/>
          <w:lang w:val="pl-PL"/>
        </w:rPr>
        <w:t xml:space="preserve"> ustawy z dnia 15 stycznia 2015 r. o obligacjach, i akcji przyznawanych w zamian za te obligacje, wskazującą maksymalną wysokość podwyższenia kapitału zakładowego w wyniku zamiany obligacji kapitałowych na akcje;</w:t>
      </w:r>
    </w:p>
    <w:p>
      <w:pPr>
        <w:spacing w:before="26" w:after="0"/>
        <w:ind w:left="373"/>
        <w:jc w:val="left"/>
        <w:textAlignment w:val="auto"/>
      </w:pPr>
      <w:r>
        <w:rPr>
          <w:rFonts w:ascii="Times New Roman"/>
          <w:b w:val="false"/>
          <w:i w:val="false"/>
          <w:color w:val="000000"/>
          <w:sz w:val="24"/>
          <w:lang w:val="pl-PL"/>
        </w:rPr>
        <w:t>9a)</w:t>
      </w:r>
      <w:r>
        <w:rPr>
          <w:rFonts w:ascii="Times New Roman"/>
          <w:b w:val="false"/>
          <w:i w:val="false"/>
          <w:color w:val="000000"/>
          <w:sz w:val="24"/>
          <w:lang w:val="pl-PL"/>
        </w:rPr>
        <w:t xml:space="preserve"> </w:t>
      </w:r>
      <w:r>
        <w:rPr>
          <w:rFonts w:ascii="Times New Roman"/>
          <w:b w:val="false"/>
          <w:i w:val="false"/>
          <w:color w:val="000000"/>
          <w:sz w:val="24"/>
          <w:lang w:val="pl-PL"/>
        </w:rPr>
        <w:t>w przypadku spółki europejskiej: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liczbę i wartość nominalną akcji,</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jeżeli akcjonariusze wnoszą wkłady niepieniężne - zaznaczenie tej okoliczności, z podaniem wartości nominalnej objętych w zamian za nie akcji; nie dotyczy to spółki europejskiej przenoszącej siedzibę na terytorium Rzeczypospolitej Polskiej,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docelowego, jeżeli statut to przewiduje, oraz wzmiankę, czy zarząd albo rada administrująca są upoważnieni do emisji warrantów subskrypcyjnych,</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liczbę akcji uprzywilejowanych i rodzaj uprzywilejowania,</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wzmiankę, jaka część kapitału zakładowego została opłacona; nie dotyczy to spółki europejskiej przenoszącej siedzibę na terytorium Rzeczypospolitej Polskiej,</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wartość nominalną warunkowego podwyższenia kapitału zakładowego,</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jeżeli statut wskazuje pismo przeznaczone do ogłoszeń spółki - oznaczenie tego pisma,</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jeżeli statut przewiduje przyznanie uprawnień osobistych określonym akcjonariuszom lub tytuły uczestnictwa w dochodach lub majątku spółki niewynikających z akcji - zaznaczenie tych okoliczności,</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spółka ma tylko jednego akcjonariusza - jego oznaczenie zgodnie z </w:t>
      </w:r>
      <w:r>
        <w:rPr>
          <w:rFonts w:ascii="Times New Roman"/>
          <w:b w:val="false"/>
          <w:i w:val="false"/>
          <w:color w:val="1b1b1b"/>
          <w:sz w:val="24"/>
          <w:lang w:val="pl-PL"/>
        </w:rPr>
        <w:t>art. 35</w:t>
      </w:r>
      <w:r>
        <w:rPr>
          <w:rFonts w:ascii="Times New Roman"/>
          <w:b w:val="false"/>
          <w:i w:val="false"/>
          <w:color w:val="000000"/>
          <w:sz w:val="24"/>
          <w:lang w:val="pl-PL"/>
        </w:rPr>
        <w:t>, a także wzmiankę, że jest on jedynym akcjonariuszem spółki europejskiej,</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wzmiankę o uchwale o emisji obligacji zamiennych i akcji przyznawanych za te obligacje; wzmiankę o prawie obligatariuszy do udziału w zysku;</w:t>
      </w:r>
    </w:p>
    <w:p>
      <w:pPr>
        <w:spacing w:before="26" w:after="0"/>
        <w:ind w:left="373"/>
        <w:jc w:val="left"/>
        <w:textAlignment w:val="auto"/>
      </w:pPr>
      <w:r>
        <w:rPr>
          <w:rFonts w:ascii="Times New Roman"/>
          <w:b w:val="false"/>
          <w:i w:val="false"/>
          <w:color w:val="000000"/>
          <w:sz w:val="24"/>
          <w:lang w:val="pl-PL"/>
        </w:rPr>
        <w:t>9b)</w:t>
      </w:r>
      <w:r>
        <w:rPr>
          <w:rFonts w:ascii="Times New Roman"/>
          <w:b w:val="false"/>
          <w:i w:val="false"/>
          <w:color w:val="000000"/>
          <w:sz w:val="24"/>
          <w:lang w:val="pl-PL"/>
        </w:rPr>
        <w:t xml:space="preserve"> </w:t>
      </w:r>
      <w:r>
        <w:rPr>
          <w:rFonts w:ascii="Times New Roman"/>
          <w:b w:val="false"/>
          <w:i w:val="false"/>
          <w:color w:val="000000"/>
          <w:sz w:val="24"/>
          <w:lang w:val="pl-PL"/>
        </w:rPr>
        <w:t>w przypadku spółdzielni europejskiej: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wysokość kapitału zakładowego (subskrybowanego), liczbę i wartość nominalną udziałów,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jeżeli członkowie wnoszą wkłady niepieniężne - zaznaczenie tej okoliczności, z podaniem wartości nominalnej objętych w zamian za nie udziałów; nie dotyczy to spółdzielni europejskiej przenoszącej siedzibę na terytorium Rzeczypospolitej Polskiej,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jeżeli statut wskazuje pismo przeznaczone do ogłoszeń spółdzielni europejskiej - oznaczenie tego pisma,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wzmiankę o uchwale o emisji obligacji;</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w przypadku przedsiębiorstwa państwowego - organ założycielski;</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 przypadku instytutu badawczego i instytutu działającego w ramach Sieci Badawczej Łukasiewicz - organ nadzorujący;</w:t>
      </w: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w przypadku towarzystwa ubezpieczeń wzajemnych - oznaczenie terytorialnego zasięgu działalności towarzystwa, oznaczenie działu ubezpieczeń objętego działalnością towarzystwa, wysokość kapitału zakładowego i zapasowego, wzmiankę dotyczącą uznania towarzystwa za małe towarzystwo ubezpieczeń wzajemnych, wzmiankę o częściowym ograniczeniu lub cofnięciu zezwolenia na prowadzenie towarzystwa;</w:t>
      </w:r>
    </w:p>
    <w:p>
      <w:pPr>
        <w:spacing w:before="26" w:after="0"/>
        <w:ind w:left="373"/>
        <w:jc w:val="left"/>
        <w:textAlignment w:val="auto"/>
      </w:pPr>
      <w:r>
        <w:rPr>
          <w:rFonts w:ascii="Times New Roman"/>
          <w:b w:val="false"/>
          <w:i w:val="false"/>
          <w:color w:val="000000"/>
          <w:sz w:val="24"/>
          <w:lang w:val="pl-PL"/>
        </w:rPr>
        <w:t>13a)</w:t>
      </w:r>
      <w:r>
        <w:rPr>
          <w:rFonts w:ascii="Times New Roman"/>
          <w:b w:val="false"/>
          <w:i w:val="false"/>
          <w:color w:val="000000"/>
          <w:sz w:val="24"/>
          <w:lang w:val="pl-PL"/>
        </w:rPr>
        <w:t xml:space="preserve"> </w:t>
      </w:r>
      <w:r>
        <w:rPr>
          <w:rFonts w:ascii="Times New Roman"/>
          <w:b w:val="false"/>
          <w:i w:val="false"/>
          <w:color w:val="000000"/>
          <w:sz w:val="24"/>
          <w:lang w:val="pl-PL"/>
        </w:rPr>
        <w:t>w przypadku towarzystwa reasekuracji wzajemnej - oznaczenie terytorialnego zasięgu działalności towarzystwa, oznaczenie działu ubezpieczeń objętego działalnością towarzystwa, wysokość kapitału zakładowego i zapasowego, wzmiankę o częściowym ograniczeniu lub cofnięciu zezwolenia na prowadzenie towarzystwa;</w:t>
      </w: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w przypadku oddziałów przedsiębiorców zagranicznych działających na terytorium Rzeczypospolitej Polskiej:</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oznaczenie przedsiębiorcy zagranicznego wraz z określeniem jego formy organizacyjno-prawnej,</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siedzibę i adres przedsiębiorcy zagranicznego,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jeżeli przedsiębiorca zagraniczny istnieje lub wykonuje działalność na podstawie wpisu do rejestru - rejestr, w którym wpisany jest zagraniczny przedsiębiorca, wraz z numerem wpisu do rejestru oraz określeniem organu prowadzącego rejestr i przechowującego akta,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przedsiębiorca zagraniczny nie podlega prawu jednego z państw członkowskich Unii Europejskiej lub państw członkowskich Europejskiego Porozumienia o Wolnym Handlu (EFTA) - stron </w:t>
      </w:r>
      <w:r>
        <w:rPr>
          <w:rFonts w:ascii="Times New Roman"/>
          <w:b w:val="false"/>
          <w:i w:val="false"/>
          <w:color w:val="1b1b1b"/>
          <w:sz w:val="24"/>
          <w:lang w:val="pl-PL"/>
        </w:rPr>
        <w:t>umowy</w:t>
      </w:r>
      <w:r>
        <w:rPr>
          <w:rFonts w:ascii="Times New Roman"/>
          <w:b w:val="false"/>
          <w:i w:val="false"/>
          <w:color w:val="000000"/>
          <w:sz w:val="24"/>
          <w:lang w:val="pl-PL"/>
        </w:rPr>
        <w:t xml:space="preserve"> o Europejskim Obszarze Gospodarczym - określenie prawa państwa właściwego dla przedsiębiorcy,</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informacje otrzymane za pośrednictwem systemu integracji rejestrów o otwarciu likwidacji, zakończeniu likwidacji, ogłoszeniu upadłości, zakończeniu postępowania upadłościowego oraz o wykreśleniu tego przedsiębiorcy;</w:t>
      </w: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w przypadku głównych oddziałów zagranicznych zakładów ubezpieczeń oraz głównych oddziałów zagranicznych zakładów reasekuracji: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oznaczenie zagranicznego zakładu ubezpieczeń albo zagranicznego zakładu reasekuracji wraz z określeniem jego formy organizacyjno-prawnej,</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siedzibę i adres zagranicznego zakładu ubezpieczeń albo zagranicznego zakładu reasekuracji,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jeżeli zagraniczny zakład ubezpieczeń albo zagraniczny zakład reasekuracji istnieje lub wykonuje działalność na podstawie wpisu do rejestru - rejestr, w którym wpisany jest zagraniczny zakład ubezpieczeń albo zagraniczny zakład reasekuracji, wraz z numerem wpisu do rejestru oraz określeniem organu prowadzącego rejestr i przechowującego akta,</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zagraniczny zakład ubezpieczeń albo zagraniczny zakład reasekuracji nie podlega prawu jednego z państw członkowskich Unii Europejskiej lub państw członkowskich Europejskiego Porozumienia o Wolnym Handlu (EFTA) - stron </w:t>
      </w:r>
      <w:r>
        <w:rPr>
          <w:rFonts w:ascii="Times New Roman"/>
          <w:b w:val="false"/>
          <w:i w:val="false"/>
          <w:color w:val="1b1b1b"/>
          <w:sz w:val="24"/>
          <w:lang w:val="pl-PL"/>
        </w:rPr>
        <w:t>umowy</w:t>
      </w:r>
      <w:r>
        <w:rPr>
          <w:rFonts w:ascii="Times New Roman"/>
          <w:b w:val="false"/>
          <w:i w:val="false"/>
          <w:color w:val="000000"/>
          <w:sz w:val="24"/>
          <w:lang w:val="pl-PL"/>
        </w:rPr>
        <w:t xml:space="preserve"> o Europejskim Obszarze Gospodarczym - określenie prawa państwa właściwego dla zagranicznego zakładu ubezpieczeń albo zagranicznego zakładu reasekuracji.</w:t>
      </w:r>
    </w:p>
    <w:p>
      <w:pPr>
        <w:spacing w:before="80" w:after="0"/>
        <w:ind w:left="0"/>
        <w:jc w:val="left"/>
        <w:textAlignment w:val="auto"/>
      </w:pPr>
      <w:r>
        <w:rPr>
          <w:rFonts w:ascii="Times New Roman"/>
          <w:b/>
          <w:i w:val="false"/>
          <w:color w:val="000000"/>
          <w:sz w:val="24"/>
          <w:lang w:val="pl-PL"/>
        </w:rPr>
        <w:t xml:space="preserve"> Art. 39.</w:t>
      </w:r>
      <w:r>
        <w:rPr>
          <w:rFonts w:ascii="Times New Roman"/>
          <w:b/>
          <w:i w:val="false"/>
          <w:color w:val="000000"/>
          <w:sz w:val="24"/>
          <w:lang w:val="pl-PL"/>
        </w:rPr>
        <w:t xml:space="preserve"> [Dane podlegające zamieszczeniu w dziale 2 rejestru przedsiębiorców]</w:t>
      </w:r>
    </w:p>
    <w:p>
      <w:pPr>
        <w:spacing w:after="0"/>
        <w:ind w:left="0"/>
        <w:jc w:val="left"/>
        <w:textAlignment w:val="auto"/>
      </w:pPr>
      <w:r>
        <w:rPr>
          <w:rFonts w:ascii="Times New Roman"/>
          <w:b w:val="false"/>
          <w:i w:val="false"/>
          <w:color w:val="000000"/>
          <w:sz w:val="24"/>
          <w:lang w:val="pl-PL"/>
        </w:rPr>
        <w:t>W dziale 2 rejestru przedsiębiorców zamieszcza się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oznaczenie organu uprawnionego do reprezentowania podmiotu oraz osób wchodzących w jego skład, ze wskazaniem sposobu reprezentacji, a w przypadku gdy w spółkach osobowych nie ma takiego organu - wskazanie wspólników uprawnionych do reprezentowania spółki, a także sposobu reprezentacji; w przypadku oddziałów przedsiębiorców zagranicznych, głównych oddziałów zagranicznych zakładów ubezpieczeń oraz głównych oddziałów zagranicznych zakładów reasekuracji dane te podlegają ujawnieniu co do przedsiębiorców zagranicznych, zagranicznych zakładów ubezpieczeń i zagranicznych zakładów reasekuracji, odpowiednio z uwzględnieniem odmienności struktury ich organów;</w:t>
      </w: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oznaczenie zarządców europejskiego zgrupowania interesów gospodarczych i osób fizycznych wyznaczonych jako przedstawiciele zarządców będących osobami prawnymi;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oznaczenie organów nadzoru wraz z ich składem osobowym; w przypadku oddziałów przedsiębiorców zagranicznych, głównych oddziałów zagranicznych zakładów ubezpieczeń oraz głównych oddziałów zagranicznych zakładów reasekuracji dane te podlegają ujawnieniu co do przedsiębiorców zagranicznych, zagranicznych zakładów ubezpieczeń i zagranicznych zakładów reasekuracji, odpowiednio z uwzględnieniem odmienności struktury ich organów;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dotyczące prokurentów oraz rodzaju prokury;</w:t>
      </w: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dotyczące pełnomocników podmiotów, o których mowa w </w:t>
      </w:r>
      <w:r>
        <w:rPr>
          <w:rFonts w:ascii="Times New Roman"/>
          <w:b w:val="false"/>
          <w:i w:val="false"/>
          <w:color w:val="1b1b1b"/>
          <w:sz w:val="24"/>
          <w:lang w:val="pl-PL"/>
        </w:rPr>
        <w:t>art. 36 pkt 8</w:t>
      </w:r>
      <w:r>
        <w:rPr>
          <w:rFonts w:ascii="Times New Roman"/>
          <w:b w:val="false"/>
          <w:i w:val="false"/>
          <w:color w:val="000000"/>
          <w:sz w:val="24"/>
          <w:lang w:val="pl-PL"/>
        </w:rPr>
        <w:t xml:space="preserve">, </w:t>
      </w:r>
      <w:r>
        <w:rPr>
          <w:rFonts w:ascii="Times New Roman"/>
          <w:b w:val="false"/>
          <w:i w:val="false"/>
          <w:color w:val="1b1b1b"/>
          <w:sz w:val="24"/>
          <w:lang w:val="pl-PL"/>
        </w:rPr>
        <w:t>9</w:t>
      </w:r>
      <w:r>
        <w:rPr>
          <w:rFonts w:ascii="Times New Roman"/>
          <w:b w:val="false"/>
          <w:i w:val="false"/>
          <w:color w:val="000000"/>
          <w:sz w:val="24"/>
          <w:lang w:val="pl-PL"/>
        </w:rPr>
        <w:t xml:space="preserve"> i </w:t>
      </w:r>
      <w:r>
        <w:rPr>
          <w:rFonts w:ascii="Times New Roman"/>
          <w:b w:val="false"/>
          <w:i w:val="false"/>
          <w:color w:val="1b1b1b"/>
          <w:sz w:val="24"/>
          <w:lang w:val="pl-PL"/>
        </w:rPr>
        <w:t>10</w:t>
      </w:r>
      <w:r>
        <w:rPr>
          <w:rFonts w:ascii="Times New Roman"/>
          <w:b w:val="false"/>
          <w:i w:val="false"/>
          <w:color w:val="000000"/>
          <w:sz w:val="24"/>
          <w:lang w:val="pl-PL"/>
        </w:rPr>
        <w:t>, i zakresu ich pełnomocnictwa;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oznaczenie osoby upoważnionej przez przedsiębiorcę zagranicznego do reprezentowania go w oddziale; dyrektora i zastępców dyrektora głównego oddziału zagranicznego zakładu ubezpieczeń oraz osoby upoważnionej do reprezentacji zagranicznego zakładu ubezpieczeń w zakresie działalności głównego oddziału; dyrektora i zastępców dyrektora głównego oddziału zagranicznego zakładu reasekuracji oraz osoby upoważnionej do reprezentacji zagranicznego zakładu reasekuracji w zakresie działalności głównego oddziału;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wzmianki o zawieszeniu członków organu, o ile przepis szczególny przewiduje zawieszenie członka organu;</w:t>
      </w:r>
    </w:p>
    <w:p>
      <w:pPr>
        <w:spacing w:before="26" w:after="0"/>
        <w:ind w:left="373"/>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w przypadku ustanowienia w prostej spółce akcyjnej rady dyrektorów - oznaczenie rady dyrektorów i osób wchodzących w jej skład ze wskazaniem sposobu reprezentacji;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przypadku wyboru przez spółkę europejską systemu monistycznego:</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oznaczenie rady administrującej oraz osób wchodzących w jej skład,</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oznaczenie dyrektorów wykonawczych, niebędących członkami rady administrującej, uprawnionych do reprezentowania spółki europejskiej oraz sposobu i zakresu reprezentacji;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oznaczenie dyrektorów wykonawczych spółdzielni europejskiej, a w przypadku wyboru przez spółdzielnię europejską systemu monistycznego - oznaczenie rady administrującej oraz osób wchodzących w jej skład.</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[Dane podlegające zamieszczeniu w dziale 3 rejestru przedsiębiorców]</w:t>
      </w:r>
    </w:p>
    <w:p>
      <w:pPr>
        <w:spacing w:after="0"/>
        <w:ind w:left="0"/>
        <w:jc w:val="left"/>
        <w:textAlignment w:val="auto"/>
      </w:pPr>
      <w:r>
        <w:rPr>
          <w:rFonts w:ascii="Times New Roman"/>
          <w:b w:val="false"/>
          <w:i w:val="false"/>
          <w:color w:val="000000"/>
          <w:sz w:val="24"/>
          <w:lang w:val="pl-PL"/>
        </w:rPr>
        <w:t>W dziale 3 rejestru przedsiębiorców zamieszcza się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przedmiot działalności według Polskiej Klasyfikacji Działalności (PKD) - nie więcej niż dziesięć pozycji, w tym jeden przedmiot przeważającej działalności na poziomie podklasy, z tym że w przypadku oddziałów przedsiębiorców zagranicznych, głównych oddziałów zagranicznych zakładów ubezpieczeń oraz głównych oddziałów zagranicznych zakładów reasekuracji przedmiot działalności i przedmiot przeważającej działalności określa się dla oddziału;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wzmiankę o złożeniu sprawozdania finansowego i rocznego skonsolidowanego sprawozdania finansowego grupy kapitałowej, z oznaczeniem dat ich złożenia i roku obrotowego;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wzmiankę o złożeniu sprawozdania z badania, jeżeli sprawozdanie podlegało obowiązkowi badania przez firmę audytorską, na podstawie przepisów o rachunkowości;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wzmiankę o złożeniu uchwały bądź postanowienia o zatwierdzeniu sprawozdania finansowego i skonsolidowanego sprawozdania grupy kapitałowej oraz podziale zysku lub pokryciu straty;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wzmiankę o złożeniu sprawozdania z działalności i sprawozdania z działalności grupy kapitałowej, jeżeli przepisy o rachunkowości wymagają ich złożenia do sądu rejestrowego;</w:t>
      </w:r>
    </w:p>
    <w:p>
      <w:pPr>
        <w:spacing w:before="26" w:after="0"/>
        <w:ind w:left="373"/>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wzmiankę o złożeniu sprawozdania z płatności na rzecz administracji publicznej oraz skonsolidowanego sprawozdania z płatności na rzecz administracji publicznej, jeżeli </w:t>
      </w:r>
      <w:r>
        <w:rPr>
          <w:rFonts w:ascii="Times New Roman"/>
          <w:b w:val="false"/>
          <w:i w:val="false"/>
          <w:color w:val="1b1b1b"/>
          <w:sz w:val="24"/>
          <w:lang w:val="pl-PL"/>
        </w:rPr>
        <w:t>przepisy</w:t>
      </w:r>
      <w:r>
        <w:rPr>
          <w:rFonts w:ascii="Times New Roman"/>
          <w:b w:val="false"/>
          <w:i w:val="false"/>
          <w:color w:val="000000"/>
          <w:sz w:val="24"/>
          <w:lang w:val="pl-PL"/>
        </w:rPr>
        <w:t xml:space="preserve"> o rachunkowości wymagają jego złożenia do sądu rejestrowego;</w:t>
      </w:r>
    </w:p>
    <w:p>
      <w:pPr>
        <w:spacing w:before="26" w:after="0"/>
        <w:ind w:left="373"/>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wzmiankę o złożeniu sprawozdawczości zrównoważonego rozwoju grupy kapitałowej jednostki dominującej z państwa spoza Europejskiego Obszaru Gospodarczego, jednostki dominującej wyższego szczebla z państwa spoza Europejskiego Obszaru Gospodarczego lub jednostki dominującej najwyższego szczebla z państwa spoza Europejskiego Obszaru Gospodarczego lub sprawozdawczości zrównoważonego rozwoju jednostki samodzielnej z państwa spoza Europejskiego Obszaru Gospodarczego, jeżeli przepisy o rachunkowości wymagają jej złożenia do sądu rejestrowego;</w:t>
      </w:r>
    </w:p>
    <w:p>
      <w:pPr>
        <w:spacing w:before="26" w:after="0"/>
        <w:ind w:left="373"/>
        <w:jc w:val="left"/>
        <w:textAlignment w:val="auto"/>
      </w:pPr>
      <w:r>
        <w:rPr>
          <w:rFonts w:ascii="Times New Roman"/>
          <w:b w:val="false"/>
          <w:i w:val="false"/>
          <w:color w:val="000000"/>
          <w:sz w:val="24"/>
          <w:lang w:val="pl-PL"/>
        </w:rPr>
        <w:t>5c)</w:t>
      </w:r>
      <w:r>
        <w:rPr>
          <w:rFonts w:ascii="Times New Roman"/>
          <w:b w:val="false"/>
          <w:i w:val="false"/>
          <w:color w:val="000000"/>
          <w:sz w:val="24"/>
          <w:lang w:val="pl-PL"/>
        </w:rPr>
        <w:t xml:space="preserve"> </w:t>
      </w:r>
      <w:r>
        <w:rPr>
          <w:rFonts w:ascii="Times New Roman"/>
          <w:b w:val="false"/>
          <w:i w:val="false"/>
          <w:color w:val="000000"/>
          <w:sz w:val="24"/>
          <w:lang w:val="pl-PL"/>
        </w:rPr>
        <w:t>wzmiankę o złożeniu sprawozdania z atestacji sprawozdawczości zrównoważonego rozwoju, jeżeli przepisy o rachunkowości wymagają jego złożenia do sądu rejestrowego;</w:t>
      </w:r>
    </w:p>
    <w:p>
      <w:pPr>
        <w:spacing w:before="26" w:after="0"/>
        <w:ind w:left="373"/>
        <w:jc w:val="left"/>
        <w:textAlignment w:val="auto"/>
      </w:pPr>
      <w:r>
        <w:rPr>
          <w:rFonts w:ascii="Times New Roman"/>
          <w:b w:val="false"/>
          <w:i w:val="false"/>
          <w:color w:val="000000"/>
          <w:sz w:val="24"/>
          <w:lang w:val="pl-PL"/>
        </w:rPr>
        <w:t>5d)</w:t>
      </w:r>
      <w:r>
        <w:rPr>
          <w:rFonts w:ascii="Times New Roman"/>
          <w:b w:val="false"/>
          <w:i w:val="false"/>
          <w:color w:val="000000"/>
          <w:sz w:val="24"/>
          <w:lang w:val="pl-PL"/>
        </w:rPr>
        <w:t xml:space="preserve"> </w:t>
      </w:r>
      <w:r>
        <w:rPr>
          <w:rFonts w:ascii="Times New Roman"/>
          <w:b w:val="false"/>
          <w:i w:val="false"/>
          <w:color w:val="000000"/>
          <w:sz w:val="24"/>
          <w:lang w:val="pl-PL"/>
        </w:rPr>
        <w:t>wzmiankę o złożeniu sprawozdania o podatku dochodowym, jeżeli przepisy o rachunkowości wymagają jego złożenia do sądu rejestrowego;</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wzmiankę o braku obowiązku sporządzenia i złożenia sprawozdania finansowego;</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informację o dniu kończącym rok obrotowy.</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[Dane podlegające zamieszczeniu w dziale 4 rejestru przedsiębiorców]</w:t>
      </w:r>
    </w:p>
    <w:p>
      <w:pPr>
        <w:spacing w:after="0"/>
        <w:ind w:left="0"/>
        <w:jc w:val="left"/>
        <w:textAlignment w:val="auto"/>
      </w:pPr>
      <w:r>
        <w:rPr>
          <w:rFonts w:ascii="Times New Roman"/>
          <w:b w:val="false"/>
          <w:i w:val="false"/>
          <w:color w:val="000000"/>
          <w:sz w:val="24"/>
          <w:lang w:val="pl-PL"/>
        </w:rPr>
        <w:t>W dziale 4 rejestru przedsiębiorców zamieszcza się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zaległości podatkowe i celne objęte egzekucją, jeżeli dochodzona należność nie została uiszczona w terminie 60 dni od daty wszczęcia egzekucji; datę wszczęcia egzekucji tych należności oraz wysokość pozostałych do wyegzekwowania kwot, datę i sposób zakończenia egzekucji;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należności, do których poboru jest obowiązany Zakład Ubezpieczeń Społecznych, objęte egzekucją, jeżeli dochodzona należność nie została uiszczona w terminie 60 dni od daty wszczęcia egzekucji; datę wszczęcia egzekucji tych należności oraz wysokość pozostałych do wyegzekwowania kwot, datę i sposób zakończenia egzekucji;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oznaczenie wierzyciela podmiotu oraz jego wierzytelność, jeżeli posiada tytuł wykonawczy wystawiony przeciwko podmiotowi i nie został zaspokojony w ciągu 30 dni od daty wezwania do spełnienia świadczenia; w przypadku wierzytelności solidarnych ujawnieniu w rejestrze podlega jedynie wierzyciel wnoszący o dokonanie wpisu z zaznaczeniem, że jest to wierzytelność wynikająca z zobowiązania solidarnego;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zabezpieczeniu majątku dłużnika w postępowaniu w przedmiocie ogłoszenia upadłości albo w postępowaniu restrukturyzacyjnym przez ustanowienie tymczasowego nadzorcy sądowego lub zarządcy przymusowego i jego zmianach lub o nadzorcy sądowym lub zarządcy ustanowionym w postępowaniu restrukturyzacyjnym, który pełni funkcję po prawomocnym umorzeniu postępowania restrukturyzacyjnego w związku ze złożeniem uproszczonego wniosku o otwarcie postępowania sanacyjnego albo uproszczonego wniosku o ogłoszenie upadłości, zawieszeniu prowadzonych przeciwko dłużnikowi egzekucji, a także o oddaleniu wniosku o ogłoszenie upadłości na podstawie </w:t>
      </w:r>
      <w:r>
        <w:rPr>
          <w:rFonts w:ascii="Times New Roman"/>
          <w:b w:val="false"/>
          <w:i w:val="false"/>
          <w:color w:val="1b1b1b"/>
          <w:sz w:val="24"/>
          <w:lang w:val="pl-PL"/>
        </w:rPr>
        <w:t>art. 13</w:t>
      </w:r>
      <w:r>
        <w:rPr>
          <w:rFonts w:ascii="Times New Roman"/>
          <w:b w:val="false"/>
          <w:i w:val="false"/>
          <w:color w:val="000000"/>
          <w:sz w:val="24"/>
          <w:lang w:val="pl-PL"/>
        </w:rPr>
        <w:t xml:space="preserve"> ustawy z dnia 28 lutego 2003 r. - Prawo upadłościowe.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41a.</w:t>
      </w:r>
      <w:r>
        <w:rPr>
          <w:rFonts w:ascii="Times New Roman"/>
          <w:b/>
          <w:i w:val="false"/>
          <w:color w:val="000000"/>
          <w:sz w:val="24"/>
          <w:lang w:val="pl-PL"/>
        </w:rPr>
        <w:t xml:space="preserve"> [Minimalna wysokość należności wpisywanych do działu 4 rejestru przedsiębiorców]</w:t>
      </w:r>
    </w:p>
    <w:p>
      <w:pPr>
        <w:spacing w:after="0"/>
        <w:ind w:left="0"/>
        <w:jc w:val="left"/>
        <w:textAlignment w:val="auto"/>
      </w:pPr>
      <w:r>
        <w:rPr>
          <w:rFonts w:ascii="Times New Roman"/>
          <w:b w:val="false"/>
          <w:i w:val="false"/>
          <w:color w:val="000000"/>
          <w:sz w:val="24"/>
          <w:lang w:val="pl-PL"/>
        </w:rPr>
        <w:t xml:space="preserve">W przypadku wpisów, o których mowa w </w:t>
      </w:r>
      <w:r>
        <w:rPr>
          <w:rFonts w:ascii="Times New Roman"/>
          <w:b w:val="false"/>
          <w:i w:val="false"/>
          <w:color w:val="1b1b1b"/>
          <w:sz w:val="24"/>
          <w:lang w:val="pl-PL"/>
        </w:rPr>
        <w:t>art. 41 pkt 1-3</w:t>
      </w:r>
      <w:r>
        <w:rPr>
          <w:rFonts w:ascii="Times New Roman"/>
          <w:b w:val="false"/>
          <w:i w:val="false"/>
          <w:color w:val="000000"/>
          <w:sz w:val="24"/>
          <w:lang w:val="pl-PL"/>
        </w:rPr>
        <w:t>, łączna wysokość należności albo wierzytelności wpisywana do rejestru w ramach jednego postępowania nie może być niższa niż 2000 zł.</w:t>
      </w:r>
    </w:p>
    <w:p>
      <w:pPr>
        <w:spacing w:before="80" w:after="0"/>
        <w:ind w:left="0"/>
        <w:jc w:val="left"/>
        <w:textAlignment w:val="auto"/>
      </w:pPr>
      <w:r>
        <w:rPr>
          <w:rFonts w:ascii="Times New Roman"/>
          <w:b/>
          <w:i w:val="false"/>
          <w:color w:val="000000"/>
          <w:sz w:val="24"/>
          <w:lang w:val="pl-PL"/>
        </w:rPr>
        <w:t xml:space="preserve"> Art. 42. </w:t>
      </w:r>
      <w:r>
        <w:rPr>
          <w:rFonts w:ascii="Times New Roman"/>
          <w:b/>
          <w:i w:val="false"/>
          <w:color w:val="000000"/>
          <w:sz w:val="24"/>
          <w:vertAlign w:val="superscript"/>
          <w:lang w:val="pl-PL"/>
        </w:rPr>
        <w:t>38</w:t>
      </w:r>
      <w:r>
        <w:rPr>
          <w:rFonts w:ascii="Times New Roman"/>
          <w:b/>
          <w:i w:val="false"/>
          <w:color w:val="000000"/>
          <w:sz w:val="24"/>
          <w:lang w:val="pl-PL"/>
        </w:rPr>
        <w:t xml:space="preserve"> </w:t>
      </w:r>
      <w:r>
        <w:rPr>
          <w:rFonts w:ascii="Times New Roman"/>
          <w:b/>
          <w:i w:val="false"/>
          <w:color w:val="000000"/>
          <w:sz w:val="24"/>
          <w:lang w:val="pl-PL"/>
        </w:rPr>
        <w:t>[Wyłączenie domniemania prawdziwości wpisów w zakresie danych z działu 4 rejestru przedsiębiorców]</w:t>
      </w:r>
    </w:p>
    <w:p>
      <w:pPr>
        <w:spacing w:after="0"/>
        <w:ind w:left="0"/>
        <w:jc w:val="left"/>
        <w:textAlignment w:val="auto"/>
      </w:pPr>
      <w:r>
        <w:rPr>
          <w:rFonts w:ascii="Times New Roman"/>
          <w:b w:val="false"/>
          <w:i w:val="false"/>
          <w:color w:val="000000"/>
          <w:sz w:val="24"/>
          <w:lang w:val="pl-PL"/>
        </w:rPr>
        <w:t xml:space="preserve">Dane wymienione w </w:t>
      </w:r>
      <w:r>
        <w:rPr>
          <w:rFonts w:ascii="Times New Roman"/>
          <w:b w:val="false"/>
          <w:i w:val="false"/>
          <w:color w:val="1b1b1b"/>
          <w:sz w:val="24"/>
          <w:lang w:val="pl-PL"/>
        </w:rPr>
        <w:t>art. 41</w:t>
      </w:r>
      <w:r>
        <w:rPr>
          <w:rFonts w:ascii="Times New Roman"/>
          <w:b w:val="false"/>
          <w:i w:val="false"/>
          <w:color w:val="000000"/>
          <w:sz w:val="24"/>
          <w:lang w:val="pl-PL"/>
        </w:rPr>
        <w:t xml:space="preserve"> nie są objęte domniemaniem określonym w </w:t>
      </w:r>
      <w:r>
        <w:rPr>
          <w:rFonts w:ascii="Times New Roman"/>
          <w:b w:val="false"/>
          <w:i w:val="false"/>
          <w:color w:val="1b1b1b"/>
          <w:sz w:val="24"/>
          <w:lang w:val="pl-PL"/>
        </w:rPr>
        <w:t>art. 17 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[Dane podlegające zamieszczeniu w dziale 5 rejestru przedsiębiorców]</w:t>
      </w:r>
    </w:p>
    <w:p>
      <w:pPr>
        <w:spacing w:after="0"/>
        <w:ind w:left="0"/>
        <w:jc w:val="left"/>
        <w:textAlignment w:val="auto"/>
      </w:pPr>
      <w:r>
        <w:rPr>
          <w:rFonts w:ascii="Times New Roman"/>
          <w:b w:val="false"/>
          <w:i w:val="false"/>
          <w:color w:val="000000"/>
          <w:sz w:val="24"/>
          <w:lang w:val="pl-PL"/>
        </w:rPr>
        <w:t>W dziale 5 rejestru przedsiębiorców zamieszcza się wzmiankę o powołaniu i odwołaniu kuratora.</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[Dane podlegające zamieszczeniu w dziale 6 rejestru przedsiębiorców]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dziale 6 rejestru przedsiębiorców zamieszcza się następujące dane: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informacje o otwarciu i zakończeniu likwidacji, ustanowieniu zarządu i zarządu komisarycznego;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informacje o wszczęciu i zakończeniu przymusowej restrukturyzacji;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informacje o objęciu </w:t>
      </w:r>
      <w:r>
        <w:rPr>
          <w:rFonts w:ascii="Times New Roman"/>
          <w:b w:val="false"/>
          <w:i w:val="false"/>
          <w:color w:val="1b1b1b"/>
          <w:sz w:val="24"/>
          <w:lang w:val="pl-PL"/>
        </w:rPr>
        <w:t>CCP</w:t>
      </w:r>
      <w:r>
        <w:rPr>
          <w:rFonts w:ascii="Times New Roman"/>
          <w:b w:val="false"/>
          <w:i w:val="false"/>
          <w:color w:val="000000"/>
          <w:sz w:val="24"/>
          <w:lang w:val="pl-PL"/>
        </w:rPr>
        <w:t xml:space="preserve">, o którym mowa w </w:t>
      </w:r>
      <w:r>
        <w:rPr>
          <w:rFonts w:ascii="Times New Roman"/>
          <w:b w:val="false"/>
          <w:i w:val="false"/>
          <w:color w:val="1b1b1b"/>
          <w:sz w:val="24"/>
          <w:lang w:val="pl-PL"/>
        </w:rPr>
        <w:t>art. 2 pkt 1</w:t>
      </w:r>
      <w:r>
        <w:rPr>
          <w:rFonts w:ascii="Times New Roman"/>
          <w:b w:val="false"/>
          <w:i w:val="false"/>
          <w:color w:val="000000"/>
          <w:sz w:val="24"/>
          <w:lang w:val="pl-PL"/>
        </w:rPr>
        <w:t xml:space="preserve"> rozporządzenia Parlamentu Europejskiego i Rady (UE) nr 648/2012 z dnia 4 lipca 2012 r. w sprawie instrumentów pochodnych będących przedmiotem obrotu poza rynkiem regulowanym, kontrahentów centralnych i repozytoriów transakcji (Dz. Urz. UE L 201 z 27.07.2012, str. 1, z późn. zm.), z siedzibą na terytorium Rzeczypospolitej Polskiej, zwanego dalej "CCP", restrukturyzacją i uporządkowaną likwidacją zgodnie z </w:t>
      </w:r>
      <w:r>
        <w:rPr>
          <w:rFonts w:ascii="Times New Roman"/>
          <w:b w:val="false"/>
          <w:i w:val="false"/>
          <w:color w:val="1b1b1b"/>
          <w:sz w:val="24"/>
          <w:lang w:val="pl-PL"/>
        </w:rPr>
        <w:t>art. 22</w:t>
      </w:r>
      <w:r>
        <w:rPr>
          <w:rFonts w:ascii="Times New Roman"/>
          <w:b w:val="false"/>
          <w:i w:val="false"/>
          <w:color w:val="000000"/>
          <w:sz w:val="24"/>
          <w:lang w:val="pl-PL"/>
        </w:rPr>
        <w:t xml:space="preserve"> rozporządzenia Parlamentu Europejskiego i Rady (UE) 2021/23 z dnia 16 grudnia 2020 r. w sprawie ram na potrzeby prowadzenia działań naprawczych oraz restrukturyzacji i uporządkowanej likwidacji w odniesieniu do kontrahentów centralnych oraz zmieniającego rozporządzenia (UE) nr 1095/2010, (UE) nr 648/2012, (UE) nr 600/2014, (UE) nr 806/2014 i (UE) 2015/2365 oraz dyrektywy 2002/47/WE, 2004/25/WE, 2007/36/WE, 2014/59/UE i (UE) 2017/1132 (Dz. Urz. UE L 22 z 22.01.2021, str. 1), zwanego dalej "</w:t>
      </w:r>
      <w:r>
        <w:rPr>
          <w:rFonts w:ascii="Times New Roman"/>
          <w:b w:val="false"/>
          <w:i w:val="false"/>
          <w:color w:val="1b1b1b"/>
          <w:sz w:val="24"/>
          <w:lang w:val="pl-PL"/>
        </w:rPr>
        <w:t>rozporządzeniem</w:t>
      </w:r>
      <w:r>
        <w:rPr>
          <w:rFonts w:ascii="Times New Roman"/>
          <w:b w:val="false"/>
          <w:i w:val="false"/>
          <w:color w:val="000000"/>
          <w:sz w:val="24"/>
          <w:lang w:val="pl-PL"/>
        </w:rPr>
        <w:t xml:space="preserve"> 2021/23", oraz o zakończeniu restrukturyzacji i uporządkowanej likwidacji tego CCP;</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dane o osobie likwidatora wraz ze sposobem reprezentacji, zarządcy oraz zarządcy komisarycznego;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osobie administratora, o którym mowa w </w:t>
      </w:r>
      <w:r>
        <w:rPr>
          <w:rFonts w:ascii="Times New Roman"/>
          <w:b w:val="false"/>
          <w:i w:val="false"/>
          <w:color w:val="1b1b1b"/>
          <w:sz w:val="24"/>
          <w:lang w:val="pl-PL"/>
        </w:rPr>
        <w:t>art. 153 ust. 1</w:t>
      </w:r>
      <w:r>
        <w:rPr>
          <w:rFonts w:ascii="Times New Roman"/>
          <w:b w:val="false"/>
          <w:i w:val="false"/>
          <w:color w:val="000000"/>
          <w:sz w:val="24"/>
          <w:lang w:val="pl-PL"/>
        </w:rPr>
        <w:t xml:space="preserve"> ustawy z dnia 10 czerwca 2016 r. o Bankowym Funduszu Gwarancyjnym, systemie gwarantowania depozytów oraz przymusowej restrukturyzacji (Dz. U. z 2025 r. poz. 643), lub zastępcy administratora, o którym mowa w </w:t>
      </w:r>
      <w:r>
        <w:rPr>
          <w:rFonts w:ascii="Times New Roman"/>
          <w:b w:val="false"/>
          <w:i w:val="false"/>
          <w:color w:val="1b1b1b"/>
          <w:sz w:val="24"/>
          <w:lang w:val="pl-PL"/>
        </w:rPr>
        <w:t>art. 154a</w:t>
      </w:r>
      <w:r>
        <w:rPr>
          <w:rFonts w:ascii="Times New Roman"/>
          <w:b w:val="false"/>
          <w:i w:val="false"/>
          <w:color w:val="000000"/>
          <w:sz w:val="24"/>
          <w:lang w:val="pl-PL"/>
        </w:rPr>
        <w:t xml:space="preserve"> tej ustawy;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osobach pełnomocników, o których mowa w </w:t>
      </w:r>
      <w:r>
        <w:rPr>
          <w:rFonts w:ascii="Times New Roman"/>
          <w:b w:val="false"/>
          <w:i w:val="false"/>
          <w:color w:val="1b1b1b"/>
          <w:sz w:val="24"/>
          <w:lang w:val="pl-PL"/>
        </w:rPr>
        <w:t>art. 114 ust. 1</w:t>
      </w:r>
      <w:r>
        <w:rPr>
          <w:rFonts w:ascii="Times New Roman"/>
          <w:b w:val="false"/>
          <w:i w:val="false"/>
          <w:color w:val="000000"/>
          <w:sz w:val="24"/>
          <w:lang w:val="pl-PL"/>
        </w:rPr>
        <w:t xml:space="preserve"> ustawy z dnia 10 czerwca 2016 r. o Bankowym Funduszu Gwarancyjnym, systemie gwarantowania depozytów oraz przymusowej restrukturyzacji;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2c)</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osobie zarządcy nadzwyczajnego, o którym mowa w </w:t>
      </w:r>
      <w:r>
        <w:rPr>
          <w:rFonts w:ascii="Times New Roman"/>
          <w:b w:val="false"/>
          <w:i w:val="false"/>
          <w:color w:val="1b1b1b"/>
          <w:sz w:val="24"/>
          <w:lang w:val="pl-PL"/>
        </w:rPr>
        <w:t>art. 50</w:t>
      </w:r>
      <w:r>
        <w:rPr>
          <w:rFonts w:ascii="Times New Roman"/>
          <w:b w:val="false"/>
          <w:i w:val="false"/>
          <w:color w:val="000000"/>
          <w:sz w:val="24"/>
          <w:lang w:val="pl-PL"/>
        </w:rPr>
        <w:t xml:space="preserve"> rozporządzenia 2021/23;</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informację o rozwiązaniu lub unieważnieniu spółki;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 xml:space="preserve">wzmiankę o złożeniu dokumentów, o których mowa w </w:t>
      </w:r>
      <w:r>
        <w:rPr>
          <w:rFonts w:ascii="Times New Roman"/>
          <w:b w:val="false"/>
          <w:i w:val="false"/>
          <w:color w:val="1b1b1b"/>
          <w:sz w:val="24"/>
          <w:lang w:val="pl-PL"/>
        </w:rPr>
        <w:t>art. 4c pkt 1</w:t>
      </w:r>
      <w:r>
        <w:rPr>
          <w:rFonts w:ascii="Times New Roman"/>
          <w:b w:val="false"/>
          <w:i w:val="false"/>
          <w:color w:val="000000"/>
          <w:sz w:val="24"/>
          <w:lang w:val="pl-PL"/>
        </w:rPr>
        <w:t xml:space="preserve">, albo wzmiankę o złożeniu informacji, o której mowa w </w:t>
      </w:r>
      <w:r>
        <w:rPr>
          <w:rFonts w:ascii="Times New Roman"/>
          <w:b w:val="false"/>
          <w:i w:val="false"/>
          <w:color w:val="1b1b1b"/>
          <w:sz w:val="24"/>
          <w:lang w:val="pl-PL"/>
        </w:rPr>
        <w:t>art. 4c pkt 2</w:t>
      </w:r>
      <w:r>
        <w:rPr>
          <w:rFonts w:ascii="Times New Roman"/>
          <w:b w:val="false"/>
          <w:i w:val="false"/>
          <w:color w:val="000000"/>
          <w:sz w:val="24"/>
          <w:lang w:val="pl-PL"/>
        </w:rPr>
        <w:t>; wpis tej wzmianki nie podlega ogłoszeniu;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informacje o połączeniu z innymi podmiotami, podziale lub przekształceniu podmiotu w inny sposób;</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informację o zawieszeniu albo wznowieniu wykonywania działalności gospodarczej;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informacje o otwarciu postępowania restrukturyzacyjnego, o ogłoszeniu upadłości, o ukończeniu tych postępowań lub o uchyleniu układu, o osobie zarządcy przymusowego, syndyka, nadzorcy sądowego, zarządcy, zarządcy zagranicznego oraz o osobach powołanych w toku postępowania restrukturyzacyjnego albo upadłościowego do reprezentowania dłużnika albo upadłego (reprezentant dłużnika albo upadłego lub przedstawiciel dłużnika albo upadłego);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dla spółki europejskiej, europejskiego zgrupowania interesów gospodarczych i spółdzielni europejskiej - wzmiankę o złożeniu planu przeniesienia siedziby, a w przypadku wykreślenia z uwagi na zmianę siedziby - informację o państwie, do którego przeniesiono siedzibę, i rejestrze, do którego wpisano podmiot.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uzyskaniu informacji o otwarciu likwidacji przedsiębiorcy zagranicznego sąd rejestrowy przekazuje tę informację ministrowi właściwemu do spraw gospodarki niezwłocznie, nie później niż w terminie 7 dni roboczych od dnia zgłoszenia tej informacji przez tego przedsiębiorcę, chyba że informacja ta została zamieszczona w Rejestrze na podstawie </w:t>
      </w:r>
      <w:r>
        <w:rPr>
          <w:rFonts w:ascii="Times New Roman"/>
          <w:b w:val="false"/>
          <w:i w:val="false"/>
          <w:color w:val="1b1b1b"/>
          <w:sz w:val="24"/>
          <w:lang w:val="pl-PL"/>
        </w:rPr>
        <w:t>art. 20 ust. 1h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oddziałów przedsiębiorców zagranicznych, głównych oddziałów zagranicznych zakładów ubezpieczeń oraz głównych oddziałów zagranicznych zakładów reasekuracji działających na terytorium Rzeczypospolitej Polskiej dane, o których mowa w </w:t>
      </w:r>
      <w:r>
        <w:rPr>
          <w:rFonts w:ascii="Times New Roman"/>
          <w:b w:val="false"/>
          <w:i w:val="false"/>
          <w:color w:val="1b1b1b"/>
          <w:sz w:val="24"/>
          <w:lang w:val="pl-PL"/>
        </w:rPr>
        <w:t>ust. 1</w:t>
      </w:r>
      <w:r>
        <w:rPr>
          <w:rFonts w:ascii="Times New Roman"/>
          <w:b w:val="false"/>
          <w:i w:val="false"/>
          <w:color w:val="000000"/>
          <w:sz w:val="24"/>
          <w:lang w:val="pl-PL"/>
        </w:rPr>
        <w:t>, zamieszcza się co do oddziałów i odpowiednio przedsiębiorców zagranicznych, zagranicznych zakładów ubezpieczeń lub zagranicznych zakładów reasekuracji.</w:t>
      </w:r>
    </w:p>
    <w:p>
      <w:pPr>
        <w:spacing w:before="80" w:after="0"/>
        <w:ind w:left="0"/>
        <w:jc w:val="left"/>
        <w:textAlignment w:val="auto"/>
      </w:pPr>
      <w:r>
        <w:rPr>
          <w:rFonts w:ascii="Times New Roman"/>
          <w:b/>
          <w:i w:val="false"/>
          <w:color w:val="000000"/>
          <w:sz w:val="24"/>
          <w:lang w:val="pl-PL"/>
        </w:rPr>
        <w:t xml:space="preserve"> Art. 45.</w:t>
      </w:r>
      <w:r>
        <w:rPr>
          <w:rFonts w:ascii="Times New Roman"/>
          <w:b/>
          <w:i w:val="false"/>
          <w:color w:val="000000"/>
          <w:sz w:val="24"/>
          <w:lang w:val="pl-PL"/>
        </w:rPr>
        <w:t xml:space="preserve"> [Tryb dokonywania wpisów oraz wykreśleń w rejestrze przedsiębiorców]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Wpisów w dziale 1 rejestru przedsiębiorców, o których mowa w </w:t>
      </w:r>
      <w:r>
        <w:rPr>
          <w:rFonts w:ascii="Times New Roman"/>
          <w:b w:val="false"/>
          <w:i w:val="false"/>
          <w:color w:val="1b1b1b"/>
          <w:sz w:val="24"/>
          <w:lang w:val="pl-PL"/>
        </w:rPr>
        <w:t>art. 38 pkt 1 lit. a</w:t>
      </w:r>
      <w:r>
        <w:rPr>
          <w:rFonts w:ascii="Times New Roman"/>
          <w:b w:val="false"/>
          <w:i w:val="false"/>
          <w:color w:val="000000"/>
          <w:sz w:val="24"/>
          <w:lang w:val="pl-PL"/>
        </w:rPr>
        <w:t xml:space="preserve">, dotyczących dodania do firmy oznaczenia "w upadłości" oraz wpisów w dziale 5 i w dziale 6 tego rejestru, o których mowa w </w:t>
      </w:r>
      <w:r>
        <w:rPr>
          <w:rFonts w:ascii="Times New Roman"/>
          <w:b w:val="false"/>
          <w:i w:val="false"/>
          <w:color w:val="1b1b1b"/>
          <w:sz w:val="24"/>
          <w:lang w:val="pl-PL"/>
        </w:rPr>
        <w:t>art. 44 ust. 1 pkt 5</w:t>
      </w:r>
      <w:r>
        <w:rPr>
          <w:rFonts w:ascii="Times New Roman"/>
          <w:b w:val="false"/>
          <w:i w:val="false"/>
          <w:color w:val="000000"/>
          <w:sz w:val="24"/>
          <w:lang w:val="pl-PL"/>
        </w:rPr>
        <w:t>, dokonuje się z urzędu.</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ogłoszeniu upadłości albo otwarciu postępowania sanacyjnego, w dziale 2 rejestru przedsiębiorców z urzędu wykreśla się wpisy, o których mowa w </w:t>
      </w:r>
      <w:r>
        <w:rPr>
          <w:rFonts w:ascii="Times New Roman"/>
          <w:b w:val="false"/>
          <w:i w:val="false"/>
          <w:color w:val="1b1b1b"/>
          <w:sz w:val="24"/>
          <w:lang w:val="pl-PL"/>
        </w:rPr>
        <w:t>art. 39 pkt 3</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złożeniu przez wszystkich członków zarządu spółki z ograniczoną odpowiedzialnością, której umowa została zawarta przy wykorzystaniu wzorca umowy udostępnionego w systemie teleinformatycznym, oświadczenia że wkłady pieniężne na pokrycie kapitału zakładowego zostały przez wszystkich wspólników w całości wniesione, w dziale 1 rejestru przedsiębiorców z urzędu wykreśla się wpis, o którym mowa w </w:t>
      </w:r>
      <w:r>
        <w:rPr>
          <w:rFonts w:ascii="Times New Roman"/>
          <w:b w:val="false"/>
          <w:i w:val="false"/>
          <w:color w:val="1b1b1b"/>
          <w:sz w:val="24"/>
          <w:lang w:val="pl-PL"/>
        </w:rPr>
        <w:t>art. 38 pkt 8 lit. f</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1ba.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przesłaniu do sądu rejestrowego przez Bankowy Fundusz Gwarancyjny odpisu decyzji bez oszacowania i uzasadnienia w przedmiocie umorzenia lub konwersji instrumentów kapitałowych lub zobowiązań kwalifikowalnych albo odpisu decyzji o zastosowaniu instrumentu umorzenia lub konwersji zobowiązań wpisów danych, o których mowa w </w:t>
      </w:r>
      <w:r>
        <w:rPr>
          <w:rFonts w:ascii="Times New Roman"/>
          <w:b w:val="false"/>
          <w:i w:val="false"/>
          <w:color w:val="1b1b1b"/>
          <w:sz w:val="24"/>
          <w:lang w:val="pl-PL"/>
        </w:rPr>
        <w:t>art. 38 pkt 3</w:t>
      </w:r>
      <w:r>
        <w:rPr>
          <w:rFonts w:ascii="Times New Roman"/>
          <w:b w:val="false"/>
          <w:i w:val="false"/>
          <w:color w:val="000000"/>
          <w:sz w:val="24"/>
          <w:lang w:val="pl-PL"/>
        </w:rPr>
        <w:t xml:space="preserve">, </w:t>
      </w:r>
      <w:r>
        <w:rPr>
          <w:rFonts w:ascii="Times New Roman"/>
          <w:b w:val="false"/>
          <w:i w:val="false"/>
          <w:color w:val="1b1b1b"/>
          <w:sz w:val="24"/>
          <w:lang w:val="pl-PL"/>
        </w:rPr>
        <w:t>pkt 8 lit. a-d</w:t>
      </w:r>
      <w:r>
        <w:rPr>
          <w:rFonts w:ascii="Times New Roman"/>
          <w:b w:val="false"/>
          <w:i w:val="false"/>
          <w:color w:val="000000"/>
          <w:sz w:val="24"/>
          <w:lang w:val="pl-PL"/>
        </w:rPr>
        <w:t xml:space="preserve"> i </w:t>
      </w:r>
      <w:r>
        <w:rPr>
          <w:rFonts w:ascii="Times New Roman"/>
          <w:b w:val="false"/>
          <w:i w:val="false"/>
          <w:color w:val="1b1b1b"/>
          <w:sz w:val="24"/>
          <w:lang w:val="pl-PL"/>
        </w:rPr>
        <w:t>g</w:t>
      </w:r>
      <w:r>
        <w:rPr>
          <w:rFonts w:ascii="Times New Roman"/>
          <w:b w:val="false"/>
          <w:i w:val="false"/>
          <w:color w:val="000000"/>
          <w:sz w:val="24"/>
          <w:lang w:val="pl-PL"/>
        </w:rPr>
        <w:t xml:space="preserve"> i </w:t>
      </w:r>
      <w:r>
        <w:rPr>
          <w:rFonts w:ascii="Times New Roman"/>
          <w:b w:val="false"/>
          <w:i w:val="false"/>
          <w:color w:val="1b1b1b"/>
          <w:sz w:val="24"/>
          <w:lang w:val="pl-PL"/>
        </w:rPr>
        <w:t>pkt 9 lit. a-e</w:t>
      </w:r>
      <w:r>
        <w:rPr>
          <w:rFonts w:ascii="Times New Roman"/>
          <w:b w:val="false"/>
          <w:i w:val="false"/>
          <w:color w:val="000000"/>
          <w:sz w:val="24"/>
          <w:lang w:val="pl-PL"/>
        </w:rPr>
        <w:t xml:space="preserve">, </w:t>
      </w:r>
      <w:r>
        <w:rPr>
          <w:rFonts w:ascii="Times New Roman"/>
          <w:b w:val="false"/>
          <w:i w:val="false"/>
          <w:color w:val="1b1b1b"/>
          <w:sz w:val="24"/>
          <w:lang w:val="pl-PL"/>
        </w:rPr>
        <w:t>h</w:t>
      </w:r>
      <w:r>
        <w:rPr>
          <w:rFonts w:ascii="Times New Roman"/>
          <w:b w:val="false"/>
          <w:i w:val="false"/>
          <w:color w:val="000000"/>
          <w:sz w:val="24"/>
          <w:lang w:val="pl-PL"/>
        </w:rPr>
        <w:t xml:space="preserve"> oraz </w:t>
      </w:r>
      <w:r>
        <w:rPr>
          <w:rFonts w:ascii="Times New Roman"/>
          <w:b w:val="false"/>
          <w:i w:val="false"/>
          <w:color w:val="1b1b1b"/>
          <w:sz w:val="24"/>
          <w:lang w:val="pl-PL"/>
        </w:rPr>
        <w:t>i</w:t>
      </w:r>
      <w:r>
        <w:rPr>
          <w:rFonts w:ascii="Times New Roman"/>
          <w:b w:val="false"/>
          <w:i w:val="false"/>
          <w:color w:val="000000"/>
          <w:sz w:val="24"/>
          <w:lang w:val="pl-PL"/>
        </w:rPr>
        <w:t>, w dziale 1 rejestru przedsiębiorców dokonuje się z urzędu.</w:t>
      </w:r>
    </w:p>
    <w:p>
      <w:pPr>
        <w:spacing w:before="26" w:after="0"/>
        <w:ind w:left="0"/>
        <w:jc w:val="left"/>
        <w:textAlignment w:val="auto"/>
      </w:pPr>
      <w:r>
        <w:rPr>
          <w:rFonts w:ascii="Times New Roman"/>
          <w:b w:val="false"/>
          <w:i w:val="false"/>
          <w:color w:val="000000"/>
          <w:sz w:val="24"/>
          <w:lang w:val="pl-PL"/>
        </w:rPr>
        <w:t>1bb.</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przesłaniu do sądu rejestrowego przez Bankowy Fundusz Gwarancyjny odpisu decyzji bez oszacowania i uzasadnienia w przedmiocie zastosowania instrumentu, o którym mowa w </w:t>
      </w:r>
      <w:r>
        <w:rPr>
          <w:rFonts w:ascii="Times New Roman"/>
          <w:b w:val="false"/>
          <w:i w:val="false"/>
          <w:color w:val="1b1b1b"/>
          <w:sz w:val="24"/>
          <w:lang w:val="pl-PL"/>
        </w:rPr>
        <w:t>art. 33 ust. 1</w:t>
      </w:r>
      <w:r>
        <w:rPr>
          <w:rFonts w:ascii="Times New Roman"/>
          <w:b w:val="false"/>
          <w:i w:val="false"/>
          <w:color w:val="000000"/>
          <w:sz w:val="24"/>
          <w:lang w:val="pl-PL"/>
        </w:rPr>
        <w:t xml:space="preserve"> rozporządzenia 2021/23, wpisów danych, o których mowa w </w:t>
      </w:r>
      <w:r>
        <w:rPr>
          <w:rFonts w:ascii="Times New Roman"/>
          <w:b w:val="false"/>
          <w:i w:val="false"/>
          <w:color w:val="1b1b1b"/>
          <w:sz w:val="24"/>
          <w:lang w:val="pl-PL"/>
        </w:rPr>
        <w:t>art. 38 pkt 3</w:t>
      </w:r>
      <w:r>
        <w:rPr>
          <w:rFonts w:ascii="Times New Roman"/>
          <w:b w:val="false"/>
          <w:i w:val="false"/>
          <w:color w:val="000000"/>
          <w:sz w:val="24"/>
          <w:lang w:val="pl-PL"/>
        </w:rPr>
        <w:t xml:space="preserve">, </w:t>
      </w:r>
      <w:r>
        <w:rPr>
          <w:rFonts w:ascii="Times New Roman"/>
          <w:b w:val="false"/>
          <w:i w:val="false"/>
          <w:color w:val="1b1b1b"/>
          <w:sz w:val="24"/>
          <w:lang w:val="pl-PL"/>
        </w:rPr>
        <w:t>pkt 8 lit. a-d</w:t>
      </w:r>
      <w:r>
        <w:rPr>
          <w:rFonts w:ascii="Times New Roman"/>
          <w:b w:val="false"/>
          <w:i w:val="false"/>
          <w:color w:val="000000"/>
          <w:sz w:val="24"/>
          <w:lang w:val="pl-PL"/>
        </w:rPr>
        <w:t xml:space="preserve"> i </w:t>
      </w:r>
      <w:r>
        <w:rPr>
          <w:rFonts w:ascii="Times New Roman"/>
          <w:b w:val="false"/>
          <w:i w:val="false"/>
          <w:color w:val="1b1b1b"/>
          <w:sz w:val="24"/>
          <w:lang w:val="pl-PL"/>
        </w:rPr>
        <w:t>g</w:t>
      </w:r>
      <w:r>
        <w:rPr>
          <w:rFonts w:ascii="Times New Roman"/>
          <w:b w:val="false"/>
          <w:i w:val="false"/>
          <w:color w:val="000000"/>
          <w:sz w:val="24"/>
          <w:lang w:val="pl-PL"/>
        </w:rPr>
        <w:t xml:space="preserve"> oraz </w:t>
      </w:r>
      <w:r>
        <w:rPr>
          <w:rFonts w:ascii="Times New Roman"/>
          <w:b w:val="false"/>
          <w:i w:val="false"/>
          <w:color w:val="1b1b1b"/>
          <w:sz w:val="24"/>
          <w:lang w:val="pl-PL"/>
        </w:rPr>
        <w:t>pkt 9 lit. a-e</w:t>
      </w:r>
      <w:r>
        <w:rPr>
          <w:rFonts w:ascii="Times New Roman"/>
          <w:b w:val="false"/>
          <w:i w:val="false"/>
          <w:color w:val="000000"/>
          <w:sz w:val="24"/>
          <w:lang w:val="pl-PL"/>
        </w:rPr>
        <w:t xml:space="preserve">, </w:t>
      </w:r>
      <w:r>
        <w:rPr>
          <w:rFonts w:ascii="Times New Roman"/>
          <w:b w:val="false"/>
          <w:i w:val="false"/>
          <w:color w:val="1b1b1b"/>
          <w:sz w:val="24"/>
          <w:lang w:val="pl-PL"/>
        </w:rPr>
        <w:t>h</w:t>
      </w:r>
      <w:r>
        <w:rPr>
          <w:rFonts w:ascii="Times New Roman"/>
          <w:b w:val="false"/>
          <w:i w:val="false"/>
          <w:color w:val="000000"/>
          <w:sz w:val="24"/>
          <w:lang w:val="pl-PL"/>
        </w:rPr>
        <w:t xml:space="preserve"> oraz </w:t>
      </w:r>
      <w:r>
        <w:rPr>
          <w:rFonts w:ascii="Times New Roman"/>
          <w:b w:val="false"/>
          <w:i w:val="false"/>
          <w:color w:val="1b1b1b"/>
          <w:sz w:val="24"/>
          <w:lang w:val="pl-PL"/>
        </w:rPr>
        <w:t>i</w:t>
      </w:r>
      <w:r>
        <w:rPr>
          <w:rFonts w:ascii="Times New Roman"/>
          <w:b w:val="false"/>
          <w:i w:val="false"/>
          <w:color w:val="000000"/>
          <w:sz w:val="24"/>
          <w:lang w:val="pl-PL"/>
        </w:rPr>
        <w:t>, w dziale 1 rejestru przedsiębiorców dokonuje się z urzędu.</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powiadomieniu sądu rejestrowego przez Bankowy Fundusz Gwarancyjny o wszczęciu przymusowej restrukturyzacji wykreślenia wpisów w dziale 2 rejestru przedsiębiorców, o których mowa w </w:t>
      </w:r>
      <w:r>
        <w:rPr>
          <w:rFonts w:ascii="Times New Roman"/>
          <w:b w:val="false"/>
          <w:i w:val="false"/>
          <w:color w:val="1b1b1b"/>
          <w:sz w:val="24"/>
          <w:lang w:val="pl-PL"/>
        </w:rPr>
        <w:t>art. 39 pkt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oraz wpisów w dziale 6 rejestru przedsiębiorców o ustanowieniu zarządu komisarycznego, o którym mowa w </w:t>
      </w:r>
      <w:r>
        <w:rPr>
          <w:rFonts w:ascii="Times New Roman"/>
          <w:b w:val="false"/>
          <w:i w:val="false"/>
          <w:color w:val="1b1b1b"/>
          <w:sz w:val="24"/>
          <w:lang w:val="pl-PL"/>
        </w:rPr>
        <w:t>art. 44 ust. 1 pkt 1</w:t>
      </w:r>
      <w:r>
        <w:rPr>
          <w:rFonts w:ascii="Times New Roman"/>
          <w:b w:val="false"/>
          <w:i w:val="false"/>
          <w:color w:val="000000"/>
          <w:sz w:val="24"/>
          <w:lang w:val="pl-PL"/>
        </w:rPr>
        <w:t xml:space="preserve">, i danych o osobie likwidatora wraz ze sposobem reprezentacji i zarządcy komisarycznego, o których mowa w </w:t>
      </w:r>
      <w:r>
        <w:rPr>
          <w:rFonts w:ascii="Times New Roman"/>
          <w:b w:val="false"/>
          <w:i w:val="false"/>
          <w:color w:val="1b1b1b"/>
          <w:sz w:val="24"/>
          <w:lang w:val="pl-PL"/>
        </w:rPr>
        <w:t>art. 44 ust. 1 pkt 2</w:t>
      </w:r>
      <w:r>
        <w:rPr>
          <w:rFonts w:ascii="Times New Roman"/>
          <w:b w:val="false"/>
          <w:i w:val="false"/>
          <w:color w:val="000000"/>
          <w:sz w:val="24"/>
          <w:lang w:val="pl-PL"/>
        </w:rPr>
        <w:t>, dokonuje się z urzędu.</w:t>
      </w:r>
    </w:p>
    <w:p>
      <w:pPr>
        <w:spacing w:before="26" w:after="0"/>
        <w:ind w:left="0"/>
        <w:jc w:val="left"/>
        <w:textAlignment w:val="auto"/>
      </w:pPr>
      <w:r>
        <w:rPr>
          <w:rFonts w:ascii="Times New Roman"/>
          <w:b w:val="false"/>
          <w:i w:val="false"/>
          <w:color w:val="000000"/>
          <w:sz w:val="24"/>
          <w:lang w:val="pl-PL"/>
        </w:rPr>
        <w:t>1ca.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powiadomieniu sądu rejestrowego przez Bankowy Fundusz Gwarancyjny o objęciu </w:t>
      </w:r>
      <w:r>
        <w:rPr>
          <w:rFonts w:ascii="Times New Roman"/>
          <w:b w:val="false"/>
          <w:i w:val="false"/>
          <w:color w:val="1b1b1b"/>
          <w:sz w:val="24"/>
          <w:lang w:val="pl-PL"/>
        </w:rPr>
        <w:t>CCP</w:t>
      </w:r>
      <w:r>
        <w:rPr>
          <w:rFonts w:ascii="Times New Roman"/>
          <w:b w:val="false"/>
          <w:i w:val="false"/>
          <w:color w:val="000000"/>
          <w:sz w:val="24"/>
          <w:lang w:val="pl-PL"/>
        </w:rPr>
        <w:t xml:space="preserve"> restrukturyzacją i uporządkowaną likwidacją zgodnie z </w:t>
      </w:r>
      <w:r>
        <w:rPr>
          <w:rFonts w:ascii="Times New Roman"/>
          <w:b w:val="false"/>
          <w:i w:val="false"/>
          <w:color w:val="1b1b1b"/>
          <w:sz w:val="24"/>
          <w:lang w:val="pl-PL"/>
        </w:rPr>
        <w:t>art. 22</w:t>
      </w:r>
      <w:r>
        <w:rPr>
          <w:rFonts w:ascii="Times New Roman"/>
          <w:b w:val="false"/>
          <w:i w:val="false"/>
          <w:color w:val="000000"/>
          <w:sz w:val="24"/>
          <w:lang w:val="pl-PL"/>
        </w:rPr>
        <w:t xml:space="preserve"> rozporządzenia 2021/2023 wykreślenia wpisów w dziale 2 rejestru przedsiębiorców, o których mowa w </w:t>
      </w:r>
      <w:r>
        <w:rPr>
          <w:rFonts w:ascii="Times New Roman"/>
          <w:b w:val="false"/>
          <w:i w:val="false"/>
          <w:color w:val="1b1b1b"/>
          <w:sz w:val="24"/>
          <w:lang w:val="pl-PL"/>
        </w:rPr>
        <w:t>art. 39 pkt 1</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oraz wpisów w dziale 6 rejestru przedsiębiorców, o których mowa w </w:t>
      </w:r>
      <w:r>
        <w:rPr>
          <w:rFonts w:ascii="Times New Roman"/>
          <w:b w:val="false"/>
          <w:i w:val="false"/>
          <w:color w:val="1b1b1b"/>
          <w:sz w:val="24"/>
          <w:lang w:val="pl-PL"/>
        </w:rPr>
        <w:t>art. 44 ust. 1 pkt 2</w:t>
      </w:r>
      <w:r>
        <w:rPr>
          <w:rFonts w:ascii="Times New Roman"/>
          <w:b w:val="false"/>
          <w:i w:val="false"/>
          <w:color w:val="000000"/>
          <w:sz w:val="24"/>
          <w:lang w:val="pl-PL"/>
        </w:rPr>
        <w:t>, w zakresie danych o osobie likwidatora wraz ze sposobem reprezentacji, dokonuje się z urzędu.</w:t>
      </w:r>
    </w:p>
    <w:p>
      <w:pPr>
        <w:spacing w:before="26"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 informacji, o których mowa w </w:t>
      </w:r>
      <w:r>
        <w:rPr>
          <w:rFonts w:ascii="Times New Roman"/>
          <w:b w:val="false"/>
          <w:i w:val="false"/>
          <w:color w:val="1b1b1b"/>
          <w:sz w:val="24"/>
          <w:lang w:val="pl-PL"/>
        </w:rPr>
        <w:t>art. 21d ust. 1 pkt 5</w:t>
      </w:r>
      <w:r>
        <w:rPr>
          <w:rFonts w:ascii="Times New Roman"/>
          <w:b w:val="false"/>
          <w:i w:val="false"/>
          <w:color w:val="000000"/>
          <w:sz w:val="24"/>
          <w:lang w:val="pl-PL"/>
        </w:rPr>
        <w:t xml:space="preserve"> oraz </w:t>
      </w:r>
      <w:r>
        <w:rPr>
          <w:rFonts w:ascii="Times New Roman"/>
          <w:b w:val="false"/>
          <w:i w:val="false"/>
          <w:color w:val="1b1b1b"/>
          <w:sz w:val="24"/>
          <w:lang w:val="pl-PL"/>
        </w:rPr>
        <w:t>ust. 2</w:t>
      </w:r>
      <w:r>
        <w:rPr>
          <w:rFonts w:ascii="Times New Roman"/>
          <w:b w:val="false"/>
          <w:i w:val="false"/>
          <w:color w:val="000000"/>
          <w:sz w:val="24"/>
          <w:lang w:val="pl-PL"/>
        </w:rPr>
        <w:t>, następuje z urzędu.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Wpisów w dziale 4 rejestru przedsiębiorców, o których mowa w </w:t>
      </w:r>
      <w:r>
        <w:rPr>
          <w:rFonts w:ascii="Times New Roman"/>
          <w:b w:val="false"/>
          <w:i w:val="false"/>
          <w:color w:val="1b1b1b"/>
          <w:sz w:val="24"/>
          <w:lang w:val="pl-PL"/>
        </w:rPr>
        <w:t>art. 41 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dokonuje się na wniosek wierzyciela. Zgłoszenie okoliczności, o których mowa w </w:t>
      </w:r>
      <w:r>
        <w:rPr>
          <w:rFonts w:ascii="Times New Roman"/>
          <w:b w:val="false"/>
          <w:i w:val="false"/>
          <w:color w:val="1b1b1b"/>
          <w:sz w:val="24"/>
          <w:lang w:val="pl-PL"/>
        </w:rPr>
        <w:t>art. 41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jest obowiązkowe, a podmioty zobowiązane do zgłoszenia tych okoliczności określają odrębne przepisy. Wpisów określonych w </w:t>
      </w:r>
      <w:r>
        <w:rPr>
          <w:rFonts w:ascii="Times New Roman"/>
          <w:b w:val="false"/>
          <w:i w:val="false"/>
          <w:color w:val="1b1b1b"/>
          <w:sz w:val="24"/>
          <w:lang w:val="pl-PL"/>
        </w:rPr>
        <w:t>art. 41 pkt 4</w:t>
      </w:r>
      <w:r>
        <w:rPr>
          <w:rFonts w:ascii="Times New Roman"/>
          <w:b w:val="false"/>
          <w:i w:val="false"/>
          <w:color w:val="000000"/>
          <w:sz w:val="24"/>
          <w:lang w:val="pl-PL"/>
        </w:rPr>
        <w:t xml:space="preserve"> dokonuje się z urzędu.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Wpisów w dziale 6 rejestru przedsiębiorców, o których mowa w </w:t>
      </w:r>
      <w:r>
        <w:rPr>
          <w:rFonts w:ascii="Times New Roman"/>
          <w:b w:val="false"/>
          <w:i w:val="false"/>
          <w:color w:val="1b1b1b"/>
          <w:sz w:val="24"/>
          <w:lang w:val="pl-PL"/>
        </w:rPr>
        <w:t>art. 44 ust. 1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dokonuje się z urzędu, jeżeli likwidatora ustanowiono z urzędu.</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powiadomieniu sądu rejestrowego przez Bankowy Fundusz Gwarancyjny o wszczęciu przymusowej restrukturyzacji wpisu w dziale 5 rejestru przedsiębiorców o odwołaniu kuratora, o którym mowa w </w:t>
      </w:r>
      <w:r>
        <w:rPr>
          <w:rFonts w:ascii="Times New Roman"/>
          <w:b w:val="false"/>
          <w:i w:val="false"/>
          <w:color w:val="1b1b1b"/>
          <w:sz w:val="24"/>
          <w:lang w:val="pl-PL"/>
        </w:rPr>
        <w:t>art. 43</w:t>
      </w:r>
      <w:r>
        <w:rPr>
          <w:rFonts w:ascii="Times New Roman"/>
          <w:b w:val="false"/>
          <w:i w:val="false"/>
          <w:color w:val="000000"/>
          <w:sz w:val="24"/>
          <w:lang w:val="pl-PL"/>
        </w:rPr>
        <w:t xml:space="preserve">, oraz wpisów w dziale 6 rejestru przedsiębiorców, o których mowa w </w:t>
      </w:r>
      <w:r>
        <w:rPr>
          <w:rFonts w:ascii="Times New Roman"/>
          <w:b w:val="false"/>
          <w:i w:val="false"/>
          <w:color w:val="1b1b1b"/>
          <w:sz w:val="24"/>
          <w:lang w:val="pl-PL"/>
        </w:rPr>
        <w:t>art. 44 ust. 1 pkt 1a</w:t>
      </w:r>
      <w:r>
        <w:rPr>
          <w:rFonts w:ascii="Times New Roman"/>
          <w:b w:val="false"/>
          <w:i w:val="false"/>
          <w:color w:val="000000"/>
          <w:sz w:val="24"/>
          <w:lang w:val="pl-PL"/>
        </w:rPr>
        <w:t xml:space="preserve">, </w:t>
      </w:r>
      <w:r>
        <w:rPr>
          <w:rFonts w:ascii="Times New Roman"/>
          <w:b w:val="false"/>
          <w:i w:val="false"/>
          <w:color w:val="1b1b1b"/>
          <w:sz w:val="24"/>
          <w:lang w:val="pl-PL"/>
        </w:rPr>
        <w:t>2a</w:t>
      </w:r>
      <w:r>
        <w:rPr>
          <w:rFonts w:ascii="Times New Roman"/>
          <w:b w:val="false"/>
          <w:i w:val="false"/>
          <w:color w:val="000000"/>
          <w:sz w:val="24"/>
          <w:lang w:val="pl-PL"/>
        </w:rPr>
        <w:t xml:space="preserve"> i </w:t>
      </w:r>
      <w:r>
        <w:rPr>
          <w:rFonts w:ascii="Times New Roman"/>
          <w:b w:val="false"/>
          <w:i w:val="false"/>
          <w:color w:val="1b1b1b"/>
          <w:sz w:val="24"/>
          <w:lang w:val="pl-PL"/>
        </w:rPr>
        <w:t>2b</w:t>
      </w:r>
      <w:r>
        <w:rPr>
          <w:rFonts w:ascii="Times New Roman"/>
          <w:b w:val="false"/>
          <w:i w:val="false"/>
          <w:color w:val="000000"/>
          <w:sz w:val="24"/>
          <w:lang w:val="pl-PL"/>
        </w:rPr>
        <w:t>, dokonuje się z urzędu.</w:t>
      </w:r>
    </w:p>
    <w:p>
      <w:pPr>
        <w:spacing w:before="26" w:after="0"/>
        <w:ind w:left="0"/>
        <w:jc w:val="left"/>
        <w:textAlignment w:val="auto"/>
      </w:pPr>
      <w:r>
        <w:rPr>
          <w:rFonts w:ascii="Times New Roman"/>
          <w:b w:val="false"/>
          <w:i w:val="false"/>
          <w:color w:val="000000"/>
          <w:sz w:val="24"/>
          <w:lang w:val="pl-PL"/>
        </w:rPr>
        <w:t>4aa.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powiadomieniu sądu rejestrowego przez Bankowy Fundusz Gwarancyjny o objęciu </w:t>
      </w:r>
      <w:r>
        <w:rPr>
          <w:rFonts w:ascii="Times New Roman"/>
          <w:b w:val="false"/>
          <w:i w:val="false"/>
          <w:color w:val="1b1b1b"/>
          <w:sz w:val="24"/>
          <w:lang w:val="pl-PL"/>
        </w:rPr>
        <w:t>CCP</w:t>
      </w:r>
      <w:r>
        <w:rPr>
          <w:rFonts w:ascii="Times New Roman"/>
          <w:b w:val="false"/>
          <w:i w:val="false"/>
          <w:color w:val="000000"/>
          <w:sz w:val="24"/>
          <w:lang w:val="pl-PL"/>
        </w:rPr>
        <w:t xml:space="preserve"> restrukturyzacją i uporządkowaną likwidacją zgodnie z </w:t>
      </w:r>
      <w:r>
        <w:rPr>
          <w:rFonts w:ascii="Times New Roman"/>
          <w:b w:val="false"/>
          <w:i w:val="false"/>
          <w:color w:val="1b1b1b"/>
          <w:sz w:val="24"/>
          <w:lang w:val="pl-PL"/>
        </w:rPr>
        <w:t>art. 22</w:t>
      </w:r>
      <w:r>
        <w:rPr>
          <w:rFonts w:ascii="Times New Roman"/>
          <w:b w:val="false"/>
          <w:i w:val="false"/>
          <w:color w:val="000000"/>
          <w:sz w:val="24"/>
          <w:lang w:val="pl-PL"/>
        </w:rPr>
        <w:t xml:space="preserve"> rozporządzenia 2021/2023 wpisu w dziale 5 rejestru przedsiębiorców o odwołaniu kuratora, o którym mowa w </w:t>
      </w:r>
      <w:r>
        <w:rPr>
          <w:rFonts w:ascii="Times New Roman"/>
          <w:b w:val="false"/>
          <w:i w:val="false"/>
          <w:color w:val="1b1b1b"/>
          <w:sz w:val="24"/>
          <w:lang w:val="pl-PL"/>
        </w:rPr>
        <w:t>art. 43</w:t>
      </w:r>
      <w:r>
        <w:rPr>
          <w:rFonts w:ascii="Times New Roman"/>
          <w:b w:val="false"/>
          <w:i w:val="false"/>
          <w:color w:val="000000"/>
          <w:sz w:val="24"/>
          <w:lang w:val="pl-PL"/>
        </w:rPr>
        <w:t xml:space="preserve">, oraz wpisów w dziale 6 rejestru przedsiębiorców, o których mowa w </w:t>
      </w:r>
      <w:r>
        <w:rPr>
          <w:rFonts w:ascii="Times New Roman"/>
          <w:b w:val="false"/>
          <w:i w:val="false"/>
          <w:color w:val="1b1b1b"/>
          <w:sz w:val="24"/>
          <w:lang w:val="pl-PL"/>
        </w:rPr>
        <w:t>art. 44 ust. 1 pkt 1b</w:t>
      </w:r>
      <w:r>
        <w:rPr>
          <w:rFonts w:ascii="Times New Roman"/>
          <w:b w:val="false"/>
          <w:i w:val="false"/>
          <w:color w:val="000000"/>
          <w:sz w:val="24"/>
          <w:lang w:val="pl-PL"/>
        </w:rPr>
        <w:t xml:space="preserve"> i </w:t>
      </w:r>
      <w:r>
        <w:rPr>
          <w:rFonts w:ascii="Times New Roman"/>
          <w:b w:val="false"/>
          <w:i w:val="false"/>
          <w:color w:val="1b1b1b"/>
          <w:sz w:val="24"/>
          <w:lang w:val="pl-PL"/>
        </w:rPr>
        <w:t>2c</w:t>
      </w:r>
      <w:r>
        <w:rPr>
          <w:rFonts w:ascii="Times New Roman"/>
          <w:b w:val="false"/>
          <w:i w:val="false"/>
          <w:color w:val="000000"/>
          <w:sz w:val="24"/>
          <w:lang w:val="pl-PL"/>
        </w:rPr>
        <w:t>, dokonuje się z urzędu.</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 xml:space="preserve">Wpisów w dziale 6 informacji o rozwiązaniu podmiotu bez przeprowadzenia postępowania likwidacyjnego, o którym mowa w </w:t>
      </w:r>
      <w:r>
        <w:rPr>
          <w:rFonts w:ascii="Times New Roman"/>
          <w:b w:val="false"/>
          <w:i w:val="false"/>
          <w:color w:val="1b1b1b"/>
          <w:sz w:val="24"/>
          <w:lang w:val="pl-PL"/>
        </w:rPr>
        <w:t>art. 25d ust. 1</w:t>
      </w:r>
      <w:r>
        <w:rPr>
          <w:rFonts w:ascii="Times New Roman"/>
          <w:b w:val="false"/>
          <w:i w:val="false"/>
          <w:color w:val="000000"/>
          <w:sz w:val="24"/>
          <w:lang w:val="pl-PL"/>
        </w:rPr>
        <w:t>, dokonuje się z urzędu.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przepis szczególny nie stanowi inaczej, w przypadku przekształcenia, połączenia lub podziału podmiotu skutkującego jego likwidacją, wykreślenie podmiotu oraz wpis informacji, o których mowa w </w:t>
      </w:r>
      <w:r>
        <w:rPr>
          <w:rFonts w:ascii="Times New Roman"/>
          <w:b w:val="false"/>
          <w:i w:val="false"/>
          <w:color w:val="1b1b1b"/>
          <w:sz w:val="24"/>
          <w:lang w:val="pl-PL"/>
        </w:rPr>
        <w:t>art. 44 ust. 1 pkt 4</w:t>
      </w:r>
      <w:r>
        <w:rPr>
          <w:rFonts w:ascii="Times New Roman"/>
          <w:b w:val="false"/>
          <w:i w:val="false"/>
          <w:color w:val="000000"/>
          <w:sz w:val="24"/>
          <w:lang w:val="pl-PL"/>
        </w:rPr>
        <w:t>, następują z urzędu. Sąd rejestrowy wpisujący skutki przekształcenia, połączenia lub podziału zawiadamia o tym sąd rejestrowy właściwy dla podmiotu podlegającego przekształceniom, przesyłając odpisy odpowiednich postanowień o wpisie do Rejestru. Zdania drugiego nie stosuje się do przekształceń, połączeń i podziałów transgranicznych.</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zamieszczeniu w Rejestrze informacji o wykreśleniu przedsiębiorcy zagranicznego na podstawie </w:t>
      </w:r>
      <w:r>
        <w:rPr>
          <w:rFonts w:ascii="Times New Roman"/>
          <w:b w:val="false"/>
          <w:i w:val="false"/>
          <w:color w:val="1b1b1b"/>
          <w:sz w:val="24"/>
          <w:lang w:val="pl-PL"/>
        </w:rPr>
        <w:t>art. 20 ust. 1h</w:t>
      </w:r>
      <w:r>
        <w:rPr>
          <w:rFonts w:ascii="Times New Roman"/>
          <w:b w:val="false"/>
          <w:i w:val="false"/>
          <w:color w:val="000000"/>
          <w:sz w:val="24"/>
          <w:lang w:val="pl-PL"/>
        </w:rPr>
        <w:t>, z przyczyn skutkujących wykreśleniem jego oddziału, sąd rejestrowy niezwłocznie wydaje z urzędu postanowienie o wykreśleniu z Rejestru oddziału tego przedsiębiorcy.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Wniosek o wpis informacji o małżeńskich stosunkach majątkowych osób wpisanych do Rejestru jako przedsiębiorcy lub wspólnicy osobowych spółek handlowych może złożyć osoba wpisana w tym Rejestrze oraz jej małżonek.</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Przedsiębiorca, który zgłasza do Rejestru okoliczność zawarcia umowy spółki cywilnej, składa do akt rejestrowych odpis umowy spółki. O zmianach umowy przedsiębiorca jest obowiązany zawiadomić sąd rejestrowy oraz złożyć do akt rejestrowych tekst jednolity tej umowy.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Wniosek o wykreślenie z Rejestru przedsiębiorstwa państwowego podzielonego w celu utworzenia dwóch lub więcej przedsiębiorstw oraz przedsiębiorstwa państwowego zlikwidowanego składa organ założycielski tego przedsiębiorstwa.</w:t>
      </w:r>
    </w:p>
    <w:p>
      <w:pPr>
        <w:spacing w:before="80" w:after="0"/>
        <w:ind w:left="0"/>
        <w:jc w:val="left"/>
        <w:textAlignment w:val="auto"/>
      </w:pPr>
      <w:r>
        <w:rPr>
          <w:rFonts w:ascii="Times New Roman"/>
          <w:b/>
          <w:i w:val="false"/>
          <w:color w:val="000000"/>
          <w:sz w:val="24"/>
          <w:lang w:val="pl-PL"/>
        </w:rPr>
        <w:t xml:space="preserve"> Art. 45a.</w:t>
      </w:r>
      <w:r>
        <w:rPr>
          <w:rFonts w:ascii="Times New Roman"/>
          <w:b/>
          <w:i w:val="false"/>
          <w:color w:val="000000"/>
          <w:sz w:val="24"/>
          <w:lang w:val="pl-PL"/>
        </w:rPr>
        <w:t xml:space="preserve"> [Postanowienia w przedmiocie wpisów, które nie są dostarczane ani zaskarżalne]</w:t>
      </w:r>
    </w:p>
    <w:p>
      <w:pPr>
        <w:spacing w:after="0"/>
        <w:ind w:left="0"/>
        <w:jc w:val="left"/>
        <w:textAlignment w:val="auto"/>
      </w:pPr>
      <w:r>
        <w:rPr>
          <w:rFonts w:ascii="Times New Roman"/>
          <w:b w:val="false"/>
          <w:i w:val="false"/>
          <w:color w:val="000000"/>
          <w:sz w:val="24"/>
          <w:lang w:val="pl-PL"/>
        </w:rPr>
        <w:t xml:space="preserve">Postanowienia w przedmiocie wpisów, o których mowa w </w:t>
      </w:r>
      <w:r>
        <w:rPr>
          <w:rFonts w:ascii="Times New Roman"/>
          <w:b w:val="false"/>
          <w:i w:val="false"/>
          <w:color w:val="1b1b1b"/>
          <w:sz w:val="24"/>
          <w:lang w:val="pl-PL"/>
        </w:rPr>
        <w:t>art. 41 pkt 4</w:t>
      </w:r>
      <w:r>
        <w:rPr>
          <w:rFonts w:ascii="Times New Roman"/>
          <w:b w:val="false"/>
          <w:i w:val="false"/>
          <w:color w:val="000000"/>
          <w:sz w:val="24"/>
          <w:lang w:val="pl-PL"/>
        </w:rPr>
        <w:t xml:space="preserve">, </w:t>
      </w:r>
      <w:r>
        <w:rPr>
          <w:rFonts w:ascii="Times New Roman"/>
          <w:b w:val="false"/>
          <w:i w:val="false"/>
          <w:color w:val="1b1b1b"/>
          <w:sz w:val="24"/>
          <w:lang w:val="pl-PL"/>
        </w:rPr>
        <w:t>art. 43</w:t>
      </w:r>
      <w:r>
        <w:rPr>
          <w:rFonts w:ascii="Times New Roman"/>
          <w:b w:val="false"/>
          <w:i w:val="false"/>
          <w:color w:val="000000"/>
          <w:sz w:val="24"/>
          <w:lang w:val="pl-PL"/>
        </w:rPr>
        <w:t xml:space="preserve">, </w:t>
      </w:r>
      <w:r>
        <w:rPr>
          <w:rFonts w:ascii="Times New Roman"/>
          <w:b w:val="false"/>
          <w:i w:val="false"/>
          <w:color w:val="1b1b1b"/>
          <w:sz w:val="24"/>
          <w:lang w:val="pl-PL"/>
        </w:rPr>
        <w:t>art. 44 ust. 1 pkt 5</w:t>
      </w:r>
      <w:r>
        <w:rPr>
          <w:rFonts w:ascii="Times New Roman"/>
          <w:b w:val="false"/>
          <w:i w:val="false"/>
          <w:color w:val="000000"/>
          <w:sz w:val="24"/>
          <w:lang w:val="pl-PL"/>
        </w:rPr>
        <w:t xml:space="preserve">, </w:t>
      </w:r>
      <w:r>
        <w:rPr>
          <w:rFonts w:ascii="Times New Roman"/>
          <w:b w:val="false"/>
          <w:i w:val="false"/>
          <w:color w:val="1b1b1b"/>
          <w:sz w:val="24"/>
          <w:lang w:val="pl-PL"/>
        </w:rPr>
        <w:t>art. 45 ust. 1</w:t>
      </w:r>
      <w:r>
        <w:rPr>
          <w:rFonts w:ascii="Times New Roman"/>
          <w:b w:val="false"/>
          <w:i w:val="false"/>
          <w:color w:val="000000"/>
          <w:sz w:val="24"/>
          <w:lang w:val="pl-PL"/>
        </w:rPr>
        <w:t xml:space="preserve"> w zakresie dodania do firmy oznaczenia "w upadłości" oraz ust. 1a i 1b, nie wymagają doręczenia i nie podlegają zaskarżeniu.</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[Wykreślenie wpisów z działu 4 rejestru przedsiębiorców]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Dane, o których mowa w </w:t>
      </w:r>
      <w:r>
        <w:rPr>
          <w:rFonts w:ascii="Times New Roman"/>
          <w:b w:val="false"/>
          <w:i w:val="false"/>
          <w:color w:val="1b1b1b"/>
          <w:sz w:val="24"/>
          <w:lang w:val="pl-PL"/>
        </w:rPr>
        <w:t>art. 41</w:t>
      </w:r>
      <w:r>
        <w:rPr>
          <w:rFonts w:ascii="Times New Roman"/>
          <w:b w:val="false"/>
          <w:i w:val="false"/>
          <w:color w:val="000000"/>
          <w:sz w:val="24"/>
          <w:lang w:val="pl-PL"/>
        </w:rPr>
        <w:t>, mogą być wykreślone w przypadku, gdy po dokonaniu wpisu zapadło orzeczenie sądowe lub decyzja administracyjna, z których wynika, że wpisana do tego rejestru należność nie istnieje lub wygasło zobowiązanie, z którego ona wynika, albo gdy tytuł wykonawczy, który stanowił podstawę wpisu, został prawomocnym orzeczeniem sądu pozbawiony wykonalności. Wygaśnięcie zobowiązania powinno być stwierdzone orzeczeniem lub zaświadczeniem właściwego organu lub oświadczeniami dłużnika i wierzyciela.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Wpisy dokonane w dziale 4 rejestru przedsiębiorców są wykreślane automatycznie po upływie 7 lat od dnia ich dokonania.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Wpisy w całości wykreślone nie podlegają ujawnieniu.</w:t>
      </w: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[Obowiązek zgłaszania danych oraz zmiany danych w rejestrze przedsiębiorców]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podlegające obowiązkowi wpisu do rejestru przedsiębiorców są obowiązane zgłaszać dane wymienione w </w:t>
      </w:r>
      <w:r>
        <w:rPr>
          <w:rFonts w:ascii="Times New Roman"/>
          <w:b w:val="false"/>
          <w:i w:val="false"/>
          <w:color w:val="1b1b1b"/>
          <w:sz w:val="24"/>
          <w:lang w:val="pl-PL"/>
        </w:rPr>
        <w:t>art. 38 pkt 1</w:t>
      </w:r>
      <w:r>
        <w:rPr>
          <w:rFonts w:ascii="Times New Roman"/>
          <w:b w:val="false"/>
          <w:i w:val="false"/>
          <w:color w:val="000000"/>
          <w:sz w:val="24"/>
          <w:lang w:val="pl-PL"/>
        </w:rPr>
        <w:t xml:space="preserve">, z wyłączeniem adresu do doręczeń elektronicznych, pkt 2a-15, art. 39, art. 40 oraz art. 44, a spółki akcyjne i spółki komandytowo-akcyjne - również adres strony internetowej, o której mowa w </w:t>
      </w:r>
      <w:r>
        <w:rPr>
          <w:rFonts w:ascii="Times New Roman"/>
          <w:b w:val="false"/>
          <w:i w:val="false"/>
          <w:color w:val="1b1b1b"/>
          <w:sz w:val="24"/>
          <w:lang w:val="pl-PL"/>
        </w:rPr>
        <w:t>art. 5 § 5</w:t>
      </w:r>
      <w:r>
        <w:rPr>
          <w:rFonts w:ascii="Times New Roman"/>
          <w:b w:val="false"/>
          <w:i w:val="false"/>
          <w:color w:val="000000"/>
          <w:sz w:val="24"/>
          <w:lang w:val="pl-PL"/>
        </w:rPr>
        <w:t xml:space="preserve"> ustawy z dnia 15 września 2000 r. - Kodeks spółek handlowych, a także ich zmiany, niezależnie od obowiązków wynikających z odrębnych przepisów, chyba że ustawa stanowi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na których wniosek został dokonany wpis danych, o których mowa w </w:t>
      </w:r>
      <w:r>
        <w:rPr>
          <w:rFonts w:ascii="Times New Roman"/>
          <w:b w:val="false"/>
          <w:i w:val="false"/>
          <w:color w:val="1b1b1b"/>
          <w:sz w:val="24"/>
          <w:lang w:val="pl-PL"/>
        </w:rPr>
        <w:t>art. 38 pkt 1a</w:t>
      </w:r>
      <w:r>
        <w:rPr>
          <w:rFonts w:ascii="Times New Roman"/>
          <w:b w:val="false"/>
          <w:i w:val="false"/>
          <w:color w:val="000000"/>
          <w:sz w:val="24"/>
          <w:lang w:val="pl-PL"/>
        </w:rPr>
        <w:t>, mają obowiązek zgłaszać zmianę tych danych.</w:t>
      </w:r>
    </w:p>
    <w:p>
      <w:pPr>
        <w:spacing w:before="80" w:after="0"/>
        <w:ind w:left="0"/>
        <w:jc w:val="left"/>
        <w:textAlignment w:val="auto"/>
      </w:pPr>
      <w:r>
        <w:rPr>
          <w:rFonts w:ascii="Times New Roman"/>
          <w:b/>
          <w:i w:val="false"/>
          <w:color w:val="000000"/>
          <w:sz w:val="24"/>
          <w:lang w:val="pl-PL"/>
        </w:rPr>
        <w:t xml:space="preserve"> Art. 47a.</w:t>
      </w:r>
      <w:r>
        <w:rPr>
          <w:rFonts w:ascii="Times New Roman"/>
          <w:b/>
          <w:i w:val="false"/>
          <w:color w:val="000000"/>
          <w:sz w:val="24"/>
          <w:lang w:val="pl-PL"/>
        </w:rPr>
        <w:t xml:space="preserve"> [Dobrowolne ogłoszenia w Monitorze Sądowym i Gospodarczym]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Spółki komandytowo-akcyjne, spółki z ograniczoną odpowiedzialnością, proste spółki akcyjne, spółki akcyjne oraz spółki europejskie mogą dobrowolnie ogłaszać w Monitorze Sądowym i Gospodarczym, w jakimkolwiek języku urzędowym Unii Europejskiej, informacje o wpisach do Rejestru wraz z ich tłumaczeniem na język polski poświadczonym przez tłumacza przysięgłego.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mogą złożyć dodatkowo do prowadzonych dla nich akt rejestrowych, dokumenty wymienione w </w:t>
      </w:r>
      <w:r>
        <w:rPr>
          <w:rFonts w:ascii="Times New Roman"/>
          <w:b w:val="false"/>
          <w:i w:val="false"/>
          <w:color w:val="1b1b1b"/>
          <w:sz w:val="24"/>
          <w:lang w:val="pl-PL"/>
        </w:rPr>
        <w:t>art. 8a ust. 1</w:t>
      </w:r>
      <w:r>
        <w:rPr>
          <w:rFonts w:ascii="Times New Roman"/>
          <w:b w:val="false"/>
          <w:i w:val="false"/>
          <w:color w:val="000000"/>
          <w:sz w:val="24"/>
          <w:lang w:val="pl-PL"/>
        </w:rPr>
        <w:t>, sporządzone w jakimkolwiek języku urzędowym Unii Europejskiej wraz z ich tłumaczeniem na język polski poświadczonym przez tłumacza przysięgłego.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Dokumenty, o których mowa w </w:t>
      </w:r>
      <w:r>
        <w:rPr>
          <w:rFonts w:ascii="Times New Roman"/>
          <w:b w:val="false"/>
          <w:i w:val="false"/>
          <w:color w:val="1b1b1b"/>
          <w:sz w:val="24"/>
          <w:lang w:val="pl-PL"/>
        </w:rPr>
        <w:t>ust. 2</w:t>
      </w:r>
      <w:r>
        <w:rPr>
          <w:rFonts w:ascii="Times New Roman"/>
          <w:b w:val="false"/>
          <w:i w:val="false"/>
          <w:color w:val="000000"/>
          <w:sz w:val="24"/>
          <w:lang w:val="pl-PL"/>
        </w:rPr>
        <w:t>, spółki mogą ogłaszać w Monitorze Sądowym i Gospodarczym.</w:t>
      </w:r>
    </w:p>
    <w:p>
      <w:pPr>
        <w:spacing w:before="26" w:after="0"/>
        <w:ind w:left="0"/>
        <w:jc w:val="left"/>
        <w:textAlignment w:val="auto"/>
      </w:pPr>
      <w:r>
        <w:rPr>
          <w:rFonts w:ascii="Times New Roman"/>
          <w:b w:val="false"/>
          <w:i w:val="false"/>
          <w:color w:val="000000"/>
          <w:sz w:val="24"/>
          <w:lang w:val="pl-PL"/>
        </w:rPr>
        <w:t xml:space="preserve">4. </w:t>
      </w:r>
      <w:r>
        <w:rPr>
          <w:rFonts w:ascii="Times New Roman"/>
          <w:b w:val="false"/>
          <w:i w:val="false"/>
          <w:color w:val="000000"/>
          <w:sz w:val="24"/>
          <w:vertAlign w:val="superscript"/>
          <w:lang w:val="pl-PL"/>
        </w:rPr>
        <w:t>39</w:t>
      </w:r>
      <w:r>
        <w:rPr>
          <w:rFonts w:ascii="Times New Roman"/>
          <w:b w:val="false"/>
          <w:i w:val="false"/>
          <w:color w:val="000000"/>
          <w:sz w:val="24"/>
          <w:lang w:val="pl-PL"/>
        </w:rPr>
        <w:t xml:space="preserve"> </w:t>
      </w:r>
      <w:r>
        <w:rPr>
          <w:rFonts w:ascii="Times New Roman"/>
          <w:b w:val="false"/>
          <w:i w:val="false"/>
          <w:color w:val="000000"/>
          <w:sz w:val="24"/>
          <w:lang w:val="pl-PL"/>
        </w:rPr>
        <w:t>W przypadku różnic między wpisem w Rejestrze a dobrowolnie ogłoszonymi informacjami, jak też między treścią dokumentów złożonych do akt rejestrowych w języku polskim a treścią dokumentów ogłoszonych dobrowolnie, treść ogłoszeń dobrowolnych nie może stanowić zarzutu wobec osób trzecich. Osoby trzecie mogą powoływać się na dobrowolne ogłoszenia, chyba że spółka udowodni, że osoba trzecia wiedziała o treści wpisu w Rejestrze.</w:t>
      </w:r>
    </w:p>
    <w:p>
      <w:pPr>
        <w:spacing w:before="80" w:after="0"/>
        <w:ind w:left="0"/>
        <w:jc w:val="left"/>
        <w:textAlignment w:val="auto"/>
      </w:pPr>
      <w:r>
        <w:rPr>
          <w:rFonts w:ascii="Times New Roman"/>
          <w:b/>
          <w:i w:val="false"/>
          <w:color w:val="000000"/>
          <w:sz w:val="24"/>
          <w:lang w:val="pl-PL"/>
        </w:rPr>
        <w:t>Art. 48.</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Rejestr stowarzyszeń, innych organizacji społecznych i zawodowych, fundacji oraz samodzielnych publicznych zakładów opieki zdrowotnej</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[Wpisy do rejestr stowarzyszeń, innych organizacji społecznych i zawodowych, fundacji oraz samodzielnych publicznych zakładów opieki zdrowotnej]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Stowarzyszenia, inne organizacje społeczne i zawodowe, fundacje oraz samodzielne publiczne zakłady opieki zdrowotnej podlegają obowiązkowi wpisu do rejestru stowarzyszeń, innych organizacji społecznych i zawodowych, fundacji oraz samodzielnych publicznych zakładów opieki zdrowotnej, zgodnie z przepisami </w:t>
      </w:r>
      <w:r>
        <w:rPr>
          <w:rFonts w:ascii="Times New Roman"/>
          <w:b w:val="false"/>
          <w:i w:val="false"/>
          <w:color w:val="1b1b1b"/>
          <w:sz w:val="24"/>
          <w:lang w:val="pl-PL"/>
        </w:rPr>
        <w:t>rozdziału 2</w:t>
      </w:r>
      <w:r>
        <w:rPr>
          <w:rFonts w:ascii="Times New Roman"/>
          <w:b w:val="false"/>
          <w:i w:val="false"/>
          <w:color w:val="000000"/>
          <w:sz w:val="24"/>
          <w:lang w:val="pl-PL"/>
        </w:rPr>
        <w:t>, jeżeli przepisy poniższe nie stanowią inaczej.</w:t>
      </w:r>
    </w:p>
    <w:p>
      <w:pPr>
        <w:spacing w:before="26" w:after="0"/>
        <w:ind w:left="0"/>
        <w:jc w:val="left"/>
        <w:textAlignment w:val="auto"/>
      </w:pPr>
      <w:r>
        <w:rPr>
          <w:rFonts w:ascii="Times New Roman"/>
          <w:b w:val="false"/>
          <w:i w:val="false"/>
          <w:color w:val="000000"/>
          <w:sz w:val="24"/>
          <w:lang w:val="pl-PL"/>
        </w:rPr>
        <w:t xml:space="preserve">2. </w:t>
      </w:r>
      <w:r>
        <w:rPr>
          <w:rFonts w:ascii="Times New Roman"/>
          <w:b w:val="false"/>
          <w:i w:val="false"/>
          <w:color w:val="000000"/>
          <w:sz w:val="24"/>
          <w:vertAlign w:val="superscript"/>
          <w:lang w:val="pl-PL"/>
        </w:rPr>
        <w:t>40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49a.</w:t>
      </w:r>
      <w:r>
        <w:rPr>
          <w:rFonts w:ascii="Times New Roman"/>
          <w:b/>
          <w:i w:val="false"/>
          <w:color w:val="000000"/>
          <w:sz w:val="24"/>
          <w:lang w:val="pl-PL"/>
        </w:rPr>
        <w:t xml:space="preserve"> [Wpis do rejestru organizacji pożytku publicznego]</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rejestru stowarzyszeń, innych organizacji społecznych i zawodowych, fundacji oraz samodzielnych publicznych zakładów opieki zdrowotnej wpisuje się także organizacje pożytku publicznego, jeżeli nie mają, z innego tytułu, obowiązku dokonania wpisu do </w:t>
      </w:r>
      <w:r>
        <w:rPr>
          <w:rFonts w:ascii="Times New Roman"/>
          <w:b w:val="false"/>
          <w:i/>
          <w:color w:val="000000"/>
          <w:sz w:val="24"/>
          <w:lang w:val="pl-PL"/>
        </w:rPr>
        <w:t>Krajowego Rejestru Sądowego</w:t>
      </w:r>
    </w:p>
    <w:p>
      <w:pPr>
        <w:spacing w:after="0"/>
        <w:ind w:left="0"/>
        <w:jc w:val="left"/>
        <w:textAlignment w:val="auto"/>
      </w:pPr>
      <w:r>
        <w:rPr>
          <w:rFonts w:ascii="Times New Roman"/>
          <w:b w:val="false"/>
          <w:i w:val="false"/>
          <w:color w:val="000000"/>
          <w:sz w:val="24"/>
          <w:lang w:val="pl-PL"/>
        </w:rPr>
        <w:t xml:space="preserve"> po spełnieniu wymagań, o których mowa w </w:t>
      </w:r>
      <w:r>
        <w:rPr>
          <w:rFonts w:ascii="Times New Roman"/>
          <w:b w:val="false"/>
          <w:i w:val="false"/>
          <w:color w:val="1b1b1b"/>
          <w:sz w:val="24"/>
          <w:lang w:val="pl-PL"/>
        </w:rPr>
        <w:t>art. 20</w:t>
      </w:r>
      <w:r>
        <w:rPr>
          <w:rFonts w:ascii="Times New Roman"/>
          <w:b w:val="false"/>
          <w:i w:val="false"/>
          <w:color w:val="000000"/>
          <w:sz w:val="24"/>
          <w:lang w:val="pl-PL"/>
        </w:rPr>
        <w:t xml:space="preserve"> lub </w:t>
      </w:r>
      <w:r>
        <w:rPr>
          <w:rFonts w:ascii="Times New Roman"/>
          <w:b w:val="false"/>
          <w:i w:val="false"/>
          <w:color w:val="1b1b1b"/>
          <w:sz w:val="24"/>
          <w:lang w:val="pl-PL"/>
        </w:rPr>
        <w:t>art. 21</w:t>
      </w:r>
      <w:r>
        <w:rPr>
          <w:rFonts w:ascii="Times New Roman"/>
          <w:b w:val="false"/>
          <w:i w:val="false"/>
          <w:color w:val="000000"/>
          <w:sz w:val="24"/>
          <w:lang w:val="pl-PL"/>
        </w:rPr>
        <w:t xml:space="preserve"> ustawy z dnia 24 kwietnia 2003 r. o działalności pożytku publicznego i o wolontariacie (Dz. U. z 2024 r. poz. 1491, 1761 i 1940).</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 wpisem, o którym mowa w </w:t>
      </w:r>
      <w:r>
        <w:rPr>
          <w:rFonts w:ascii="Times New Roman"/>
          <w:b w:val="false"/>
          <w:i w:val="false"/>
          <w:color w:val="1b1b1b"/>
          <w:sz w:val="24"/>
          <w:lang w:val="pl-PL"/>
        </w:rPr>
        <w:t>ust. 1</w:t>
      </w:r>
      <w:r>
        <w:rPr>
          <w:rFonts w:ascii="Times New Roman"/>
          <w:b w:val="false"/>
          <w:i w:val="false"/>
          <w:color w:val="000000"/>
          <w:sz w:val="24"/>
          <w:lang w:val="pl-PL"/>
        </w:rPr>
        <w:t>, nie wiąże się nabycie osobowości prawnej przez taką organizację, a w dziale 1 rejestru stowarzyszeń, innych organizacji społecznych i zawodowych, fundacji oraz samodzielnych publicznych zakładów opieki zdrowotnej ujawnia się informację, że organizacja pożytku publicznego nie posiada osobowości prawnej.</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[Dodatkowy obowiązek wpisu do rejestru przedsiębiorców]</w:t>
      </w:r>
    </w:p>
    <w:p>
      <w:pPr>
        <w:spacing w:after="0"/>
        <w:ind w:left="0"/>
        <w:jc w:val="left"/>
        <w:textAlignment w:val="auto"/>
      </w:pPr>
      <w:r>
        <w:rPr>
          <w:rFonts w:ascii="Times New Roman"/>
          <w:b w:val="false"/>
          <w:i w:val="false"/>
          <w:color w:val="000000"/>
          <w:sz w:val="24"/>
          <w:lang w:val="pl-PL"/>
        </w:rPr>
        <w:t xml:space="preserve">Jeżeli podmiot wpisany do rejestru, o którym mowa w </w:t>
      </w:r>
      <w:r>
        <w:rPr>
          <w:rFonts w:ascii="Times New Roman"/>
          <w:b w:val="false"/>
          <w:i w:val="false"/>
          <w:color w:val="1b1b1b"/>
          <w:sz w:val="24"/>
          <w:lang w:val="pl-PL"/>
        </w:rPr>
        <w:t>art. 49 ust. 1</w:t>
      </w:r>
      <w:r>
        <w:rPr>
          <w:rFonts w:ascii="Times New Roman"/>
          <w:b w:val="false"/>
          <w:i w:val="false"/>
          <w:color w:val="000000"/>
          <w:sz w:val="24"/>
          <w:lang w:val="pl-PL"/>
        </w:rPr>
        <w:t>, podejmuje działalność gospodarczą, podlega obowiązkowi wpisu także do rejestru przedsiębiorców, z wyjątkiem samodzielnego publicznego zakładu opieki zdrowotnej.</w:t>
      </w:r>
    </w:p>
    <w:p>
      <w:pPr>
        <w:spacing w:before="80" w:after="0"/>
        <w:ind w:left="0"/>
        <w:jc w:val="left"/>
        <w:textAlignment w:val="auto"/>
      </w:pPr>
      <w:r>
        <w:rPr>
          <w:rFonts w:ascii="Times New Roman"/>
          <w:b/>
          <w:i w:val="false"/>
          <w:color w:val="000000"/>
          <w:sz w:val="24"/>
          <w:lang w:val="pl-PL"/>
        </w:rPr>
        <w:t>Art. 51.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52.</w:t>
      </w:r>
      <w:r>
        <w:rPr>
          <w:rFonts w:ascii="Times New Roman"/>
          <w:b/>
          <w:i w:val="false"/>
          <w:color w:val="000000"/>
          <w:sz w:val="24"/>
          <w:lang w:val="pl-PL"/>
        </w:rPr>
        <w:t xml:space="preserve"> [Dane podlegające zamieszczeniu w dziale 1 i 3 rejestru]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 rejestracji stowarzyszenia, związku zawodowego, organizacji pracodawców i innych organizacji społecznych i zawodowych w dziale 1 wpisuje się osoby wchodzące w skład komitetu założycielskiego, chyba że został powołany organ reprezentacji.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Przy rejestracji stowarzyszeń, innych organizacji społecznych i zawodowych, fundacji, samodzielnych publicznych zakładów opieki zdrowotnej w dziale 1 wpisuje się organ sprawujący nadzór.</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Przy rejestracji stowarzyszenia utworzonego w wyniku przekształcenia stowarzyszenia zwykłego, w dziale 1 rejestru wpisuje się informację o sposobie powstania podmiotu, poprzedniej nazwie, nazwie ewidencji oraz organie ją prowadzącym, a także numerze w ewidencji, jeżeli został nadany.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Przy rejestracji podmiotu posiadającego status organizacji pożytku publicznego wpisuje się w dziale 1 zaznaczenie tej okoliczności, a w dziale 3 określenie przedmiotu jego działalności statutowej, z wyodrębnieniem działalności odpłatnej i nieodpłatnej.</w:t>
      </w:r>
    </w:p>
    <w:p>
      <w:pPr>
        <w:spacing w:before="80" w:after="0"/>
        <w:ind w:left="0"/>
        <w:jc w:val="left"/>
        <w:textAlignment w:val="auto"/>
      </w:pPr>
      <w:r>
        <w:rPr>
          <w:rFonts w:ascii="Times New Roman"/>
          <w:b/>
          <w:i w:val="false"/>
          <w:color w:val="000000"/>
          <w:sz w:val="24"/>
          <w:lang w:val="pl-PL"/>
        </w:rPr>
        <w:t xml:space="preserve"> Art. 53.</w:t>
      </w:r>
      <w:r>
        <w:rPr>
          <w:rFonts w:ascii="Times New Roman"/>
          <w:b/>
          <w:i w:val="false"/>
          <w:color w:val="000000"/>
          <w:sz w:val="24"/>
          <w:lang w:val="pl-PL"/>
        </w:rPr>
        <w:t xml:space="preserve"> [Dane podlegające zamieszczeniu przy rejestracji samodzielnych publicznych zakładów opieki zdrowotnej]</w:t>
      </w:r>
    </w:p>
    <w:p>
      <w:pPr>
        <w:spacing w:after="0"/>
        <w:ind w:left="0"/>
        <w:jc w:val="left"/>
        <w:textAlignment w:val="auto"/>
      </w:pPr>
      <w:r>
        <w:rPr>
          <w:rFonts w:ascii="Times New Roman"/>
          <w:b w:val="false"/>
          <w:i w:val="false"/>
          <w:color w:val="000000"/>
          <w:sz w:val="24"/>
          <w:lang w:val="pl-PL"/>
        </w:rPr>
        <w:t>Przy rejestracji samodzielnych publicznych zakładów opieki zdrowotnej w dziale 1 wpisuje się oznaczenie podmiotu tworzącego, w rozumieniu przepisów o działalności leczniczej, a w dziale 2 - nazwisko i imiona kierownika samodzielnego publicznego zakładu opieki zdrowotnej i jego kwalifikacje oraz skład rady społecznej, jeżeli jest powołana.</w:t>
      </w:r>
    </w:p>
    <w:p>
      <w:pPr>
        <w:spacing w:before="80" w:after="0"/>
        <w:ind w:left="0"/>
        <w:jc w:val="left"/>
        <w:textAlignment w:val="auto"/>
      </w:pPr>
      <w:r>
        <w:rPr>
          <w:rFonts w:ascii="Times New Roman"/>
          <w:b/>
          <w:i w:val="false"/>
          <w:color w:val="000000"/>
          <w:sz w:val="24"/>
          <w:lang w:val="pl-PL"/>
        </w:rPr>
        <w:t xml:space="preserve"> Art. 53a.</w:t>
      </w:r>
      <w:r>
        <w:rPr>
          <w:rFonts w:ascii="Times New Roman"/>
          <w:b/>
          <w:i w:val="false"/>
          <w:color w:val="000000"/>
          <w:sz w:val="24"/>
          <w:lang w:val="pl-PL"/>
        </w:rPr>
        <w:t xml:space="preserve"> [Obowiązek zgłaszania danych oraz zmiany danych]</w:t>
      </w:r>
    </w:p>
    <w:p>
      <w:pPr>
        <w:spacing w:after="0"/>
        <w:ind w:left="0"/>
        <w:jc w:val="left"/>
        <w:textAlignment w:val="auto"/>
      </w:pPr>
      <w:r>
        <w:rPr>
          <w:rFonts w:ascii="Times New Roman"/>
          <w:b w:val="false"/>
          <w:i w:val="false"/>
          <w:color w:val="000000"/>
          <w:sz w:val="24"/>
          <w:lang w:val="pl-PL"/>
        </w:rPr>
        <w:t xml:space="preserve">Podmioty podlegające obowiązkowi wpisu do rejestru, o którym mowa w </w:t>
      </w:r>
      <w:r>
        <w:rPr>
          <w:rFonts w:ascii="Times New Roman"/>
          <w:b w:val="false"/>
          <w:i w:val="false"/>
          <w:color w:val="1b1b1b"/>
          <w:sz w:val="24"/>
          <w:lang w:val="pl-PL"/>
        </w:rPr>
        <w:t>art. 49 ust. 1</w:t>
      </w:r>
      <w:r>
        <w:rPr>
          <w:rFonts w:ascii="Times New Roman"/>
          <w:b w:val="false"/>
          <w:i w:val="false"/>
          <w:color w:val="000000"/>
          <w:sz w:val="24"/>
          <w:lang w:val="pl-PL"/>
        </w:rPr>
        <w:t xml:space="preserve">, są obowiązane zgłaszać dotyczące ich informacje wymienione w </w:t>
      </w:r>
      <w:r>
        <w:rPr>
          <w:rFonts w:ascii="Times New Roman"/>
          <w:b w:val="false"/>
          <w:i w:val="false"/>
          <w:color w:val="1b1b1b"/>
          <w:sz w:val="24"/>
          <w:lang w:val="pl-PL"/>
        </w:rPr>
        <w:t>art. 38</w:t>
      </w:r>
      <w:r>
        <w:rPr>
          <w:rFonts w:ascii="Times New Roman"/>
          <w:b w:val="false"/>
          <w:i w:val="false"/>
          <w:color w:val="000000"/>
          <w:sz w:val="24"/>
          <w:lang w:val="pl-PL"/>
        </w:rPr>
        <w:t xml:space="preserve">, </w:t>
      </w:r>
      <w:r>
        <w:rPr>
          <w:rFonts w:ascii="Times New Roman"/>
          <w:b w:val="false"/>
          <w:i w:val="false"/>
          <w:color w:val="1b1b1b"/>
          <w:sz w:val="24"/>
          <w:lang w:val="pl-PL"/>
        </w:rPr>
        <w:t>39</w:t>
      </w:r>
      <w:r>
        <w:rPr>
          <w:rFonts w:ascii="Times New Roman"/>
          <w:b w:val="false"/>
          <w:i w:val="false"/>
          <w:color w:val="000000"/>
          <w:sz w:val="24"/>
          <w:lang w:val="pl-PL"/>
        </w:rPr>
        <w:t xml:space="preserve">, </w:t>
      </w:r>
      <w:r>
        <w:rPr>
          <w:rFonts w:ascii="Times New Roman"/>
          <w:b w:val="false"/>
          <w:i w:val="false"/>
          <w:color w:val="1b1b1b"/>
          <w:sz w:val="24"/>
          <w:lang w:val="pl-PL"/>
        </w:rPr>
        <w:t>43</w:t>
      </w:r>
      <w:r>
        <w:rPr>
          <w:rFonts w:ascii="Times New Roman"/>
          <w:b w:val="false"/>
          <w:i w:val="false"/>
          <w:color w:val="000000"/>
          <w:sz w:val="24"/>
          <w:lang w:val="pl-PL"/>
        </w:rPr>
        <w:t xml:space="preserve">, </w:t>
      </w:r>
      <w:r>
        <w:rPr>
          <w:rFonts w:ascii="Times New Roman"/>
          <w:b w:val="false"/>
          <w:i w:val="false"/>
          <w:color w:val="1b1b1b"/>
          <w:sz w:val="24"/>
          <w:lang w:val="pl-PL"/>
        </w:rPr>
        <w:t>44</w:t>
      </w:r>
      <w:r>
        <w:rPr>
          <w:rFonts w:ascii="Times New Roman"/>
          <w:b w:val="false"/>
          <w:i w:val="false"/>
          <w:color w:val="000000"/>
          <w:sz w:val="24"/>
          <w:lang w:val="pl-PL"/>
        </w:rPr>
        <w:t xml:space="preserve">, </w:t>
      </w:r>
      <w:r>
        <w:rPr>
          <w:rFonts w:ascii="Times New Roman"/>
          <w:b w:val="false"/>
          <w:i w:val="false"/>
          <w:color w:val="1b1b1b"/>
          <w:sz w:val="24"/>
          <w:lang w:val="pl-PL"/>
        </w:rPr>
        <w:t>52</w:t>
      </w:r>
      <w:r>
        <w:rPr>
          <w:rFonts w:ascii="Times New Roman"/>
          <w:b w:val="false"/>
          <w:i w:val="false"/>
          <w:color w:val="000000"/>
          <w:sz w:val="24"/>
          <w:lang w:val="pl-PL"/>
        </w:rPr>
        <w:t xml:space="preserve"> i </w:t>
      </w:r>
      <w:r>
        <w:rPr>
          <w:rFonts w:ascii="Times New Roman"/>
          <w:b w:val="false"/>
          <w:i w:val="false"/>
          <w:color w:val="1b1b1b"/>
          <w:sz w:val="24"/>
          <w:lang w:val="pl-PL"/>
        </w:rPr>
        <w:t>53</w:t>
      </w:r>
      <w:r>
        <w:rPr>
          <w:rFonts w:ascii="Times New Roman"/>
          <w:b w:val="false"/>
          <w:i w:val="false"/>
          <w:color w:val="000000"/>
          <w:sz w:val="24"/>
          <w:lang w:val="pl-PL"/>
        </w:rPr>
        <w:t xml:space="preserve"> oraz zmiany tych informacji, niezależnie od obowiązków wynikających z odrębnych przepisów, chyba że ustawa stanowi inaczej.</w:t>
      </w:r>
    </w:p>
    <w:p>
      <w:pPr>
        <w:spacing w:before="80" w:after="0"/>
        <w:ind w:left="0"/>
        <w:jc w:val="left"/>
        <w:textAlignment w:val="auto"/>
      </w:pPr>
      <w:r>
        <w:rPr>
          <w:rFonts w:ascii="Times New Roman"/>
          <w:b/>
          <w:i w:val="false"/>
          <w:color w:val="000000"/>
          <w:sz w:val="24"/>
          <w:lang w:val="pl-PL"/>
        </w:rPr>
        <w:t>Art. 54.</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Rejestr dłużników niewypłacalnych</w:t>
      </w:r>
    </w:p>
    <w:p>
      <w:pPr>
        <w:spacing w:before="80" w:after="0"/>
        <w:ind w:left="0"/>
        <w:jc w:val="left"/>
        <w:textAlignment w:val="auto"/>
      </w:pPr>
      <w:r>
        <w:rPr>
          <w:rFonts w:ascii="Times New Roman"/>
          <w:b/>
          <w:i w:val="false"/>
          <w:color w:val="000000"/>
          <w:sz w:val="24"/>
          <w:lang w:val="pl-PL"/>
        </w:rPr>
        <w:t>Art. 55.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56.</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58. </w:t>
      </w:r>
      <w:r>
        <w:rPr>
          <w:rFonts w:ascii="Times New Roman"/>
          <w:b/>
          <w:i w:val="false"/>
          <w:color w:val="000000"/>
          <w:sz w:val="24"/>
          <w:vertAlign w:val="superscript"/>
          <w:lang w:val="pl-PL"/>
        </w:rPr>
        <w:t>41</w:t>
      </w:r>
      <w:r>
        <w:rPr>
          <w:rFonts w:ascii="Times New Roman"/>
          <w:b/>
          <w:i w:val="false"/>
          <w:color w:val="000000"/>
          <w:sz w:val="24"/>
          <w:lang w:val="pl-PL"/>
        </w:rPr>
        <w:t xml:space="preserve"> </w:t>
      </w:r>
      <w:r>
        <w:rPr>
          <w:rFonts w:ascii="Times New Roman"/>
          <w:b/>
          <w:i w:val="false"/>
          <w:color w:val="000000"/>
          <w:sz w:val="24"/>
          <w:lang w:val="pl-PL"/>
        </w:rPr>
        <w:t>[Wyłączenie obowiązku ogłoszenia wpisów w MSiG]</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59.</w:t>
      </w:r>
      <w:r>
        <w:rPr>
          <w:rFonts w:ascii="Times New Roman"/>
          <w:b/>
          <w:i w:val="false"/>
          <w:color w:val="000000"/>
          <w:sz w:val="24"/>
          <w:lang w:val="pl-PL"/>
        </w:rPr>
        <w:t xml:space="preserve"> [Wykreślenie wpisów z rejestru dłużników niewypłacalnych]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Sąd rejestrowy z urzędu wykreśla wpisy z rejestru dłużników niewypłacalnych w razie uchylenia lub zmiany postanowienia, na którego podstawie wpisy były dokonane. Wpisy te nie podlegają ujawnieniu.</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Wpisy z rejestru dłużników niewypłacalnych mogą być również wykreślone z urzędu lub na wniosek, gdy po dokonaniu wpisu zapadło orzeczenie sądowe lub decyzja administracyjna, z których wynika, że wpisana do tego rejestru należność nie istnieje albo wygasło zobowiązanie, z którego ona wynika. Wygaśnięcie zobowiązania powinno być stwierdzone orzeczeniem lub zaświadczeniem właściwego organu lub oświadczeniami dłużnika i wierzyciela. Wpisy wykreślone w całości nie podlegają ujawnieniu.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Sąd rejestrowy z urzędu dokonuje wykreślenia wpisów, gdy uchylono orzeczenie o ogłoszeniu upadłości, albo na wniosek osoby wpisanej do rejestru dłużników niewypłacalnych, gdy tytuł wykonawczy, który stanowił podstawę wpisu, został prawomocnym orzeczeniem sądu pozbawiony wykonalności.</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Sąd rejestrowy z urzędu dokonuje wykreślenia wpisu dotyczącego osoby fizycznej nieprowadzącej działalności gospodarczej, której upadłość ogłoszono, jeżeli zobowiązania tej osoby zostały umorzone prawomocnym orzeczeniem sądu.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Wpisy wykreślone w całości nie podlegają ujawnieniu.</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[Automatyczne wykreślenie wpisów z rejestru dłużników niewypłacalnych]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Wpisy do rejestru dłużników niewypłacalnych są wykreślane automatycznie po upływie 7 lat od dnia dokonania wpisu. Wpisy osób, które zostały pozbawione przez sąd upadłościowy prawa prowadzenia działalności gospodarczej na własny rachunek oraz pełnienia funkcji członka rady nadzorczej, reprezentanta lub pełnomocnika w spółce handlowej, przedsiębiorstwie państwowym, spółdzielni, fundacji lub stowarzyszeniu, są automatycznie wykreślane po upływie 10 lat od ich dokonania, a jeżeli w orzeczeniu sądu upadłościowego został oznaczony krótszy termin zakazu, wykreślenie może nastąpić na wniosek dłużnika po upływie tego terminu. Wpisy wykreślone w całości nie podlegają ujawnieniu.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 xml:space="preserve">Rozdział 4a </w:t>
      </w:r>
      <w:r>
        <w:rPr>
          <w:rFonts w:ascii="Times New Roman"/>
          <w:b/>
          <w:i w:val="false"/>
          <w:color w:val="000000"/>
          <w:sz w:val="24"/>
          <w:vertAlign w:val="superscript"/>
          <w:lang w:val="pl-PL"/>
        </w:rPr>
        <w:t>42</w:t>
      </w:r>
    </w:p>
    <w:p>
      <w:pPr>
        <w:spacing w:before="25" w:after="0"/>
        <w:ind w:left="0"/>
        <w:jc w:val="center"/>
        <w:textAlignment w:val="auto"/>
      </w:pPr>
      <w:r>
        <w:rPr>
          <w:rFonts w:ascii="Times New Roman"/>
          <w:b/>
          <w:i w:val="false"/>
          <w:color w:val="000000"/>
          <w:sz w:val="24"/>
          <w:lang w:val="pl-PL"/>
        </w:rPr>
        <w:t>Przepis karny</w:t>
      </w:r>
    </w:p>
    <w:p>
      <w:pPr>
        <w:spacing w:before="80" w:after="0"/>
        <w:ind w:left="0"/>
        <w:jc w:val="left"/>
        <w:textAlignment w:val="auto"/>
      </w:pPr>
      <w:r>
        <w:rPr>
          <w:rFonts w:ascii="Times New Roman"/>
          <w:b/>
          <w:i w:val="false"/>
          <w:color w:val="000000"/>
          <w:sz w:val="24"/>
          <w:lang w:val="pl-PL"/>
        </w:rPr>
        <w:t xml:space="preserve"> Art. 60a.</w:t>
      </w:r>
      <w:r>
        <w:rPr>
          <w:rFonts w:ascii="Times New Roman"/>
          <w:b/>
          <w:i w:val="false"/>
          <w:color w:val="000000"/>
          <w:sz w:val="24"/>
          <w:lang w:val="pl-PL"/>
        </w:rPr>
        <w:t xml:space="preserve"> [Nieuprawnione uzyskiwanie z Rejestru informacji za pośrednictwem usług sieciowych]</w:t>
      </w:r>
    </w:p>
    <w:p>
      <w:pPr>
        <w:spacing w:after="0"/>
        <w:ind w:left="0"/>
        <w:jc w:val="left"/>
        <w:textAlignment w:val="auto"/>
      </w:pPr>
      <w:r>
        <w:rPr>
          <w:rFonts w:ascii="Times New Roman"/>
          <w:b w:val="false"/>
          <w:i w:val="false"/>
          <w:color w:val="000000"/>
          <w:sz w:val="24"/>
          <w:lang w:val="pl-PL"/>
        </w:rPr>
        <w:t>Kto bez uprawnienia uzyskuje z Rejestru informację za pośrednictwem usług sieciowych,</w:t>
      </w:r>
    </w:p>
    <w:p>
      <w:pPr>
        <w:spacing w:before="25" w:after="0"/>
        <w:ind w:left="0"/>
        <w:jc w:val="left"/>
        <w:textAlignment w:val="auto"/>
      </w:pPr>
      <w:r>
        <w:rPr>
          <w:rFonts w:ascii="Times New Roman"/>
          <w:b w:val="false"/>
          <w:i w:val="false"/>
          <w:color w:val="000000"/>
          <w:sz w:val="24"/>
          <w:lang w:val="pl-PL"/>
        </w:rPr>
        <w:t>podlega grzywnie, karze ograniczenia wolności albo pozbawienia wolności do lat 2.</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Zmiany w przepisach obowiązujących i przepisy końcowe</w:t>
      </w:r>
    </w:p>
    <w:p>
      <w:pPr>
        <w:spacing w:before="80" w:after="0"/>
        <w:ind w:left="0"/>
        <w:jc w:val="left"/>
        <w:textAlignment w:val="auto"/>
      </w:pPr>
      <w:r>
        <w:rPr>
          <w:rFonts w:ascii="Times New Roman"/>
          <w:b/>
          <w:i w:val="false"/>
          <w:color w:val="000000"/>
          <w:sz w:val="24"/>
          <w:lang w:val="pl-PL"/>
        </w:rPr>
        <w:t>Art. 61.</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rozporządzeniu</w:t>
      </w:r>
      <w:r>
        <w:rPr>
          <w:rFonts w:ascii="Times New Roman"/>
          <w:b w:val="false"/>
          <w:i w:val="false"/>
          <w:color w:val="000000"/>
          <w:sz w:val="24"/>
          <w:lang w:val="pl-PL"/>
        </w:rPr>
        <w:t xml:space="preserve"> Prezydenta Rzeczypospolitej z dnia 27 czerwca 1934 r. - Kodeks handlowy (Dz. U. Nr 57, poz. 502, z 1946 r. Nr 57, poz. 321, z 1950 r. Nr 34, poz. 312, z 1964 r. Nr 16, poz. 94, z 1969 r. Nr 13, poz. 95, z 1988 r. Nr 41, poz. 326, z 1990 r. Nr 17, poz. 98 i Nr 51, poz. 298, z 1991 r. Nr 35, poz. 155, Nr 94, poz. 418 i Nr 111, poz. 480, z 1994 r. Nr 121, poz. 591, z 1995 r. Nr 96, poz. 478, z 1996 r. Nr 6, poz. 43 oraz z 1997 r. Nr 88, poz. 554) wprowadza się następujące zmiany: (zmiany pominięte).</w:t>
      </w:r>
    </w:p>
    <w:p>
      <w:pPr>
        <w:spacing w:before="80" w:after="0"/>
        <w:ind w:left="0"/>
        <w:jc w:val="left"/>
        <w:textAlignment w:val="auto"/>
      </w:pPr>
      <w:r>
        <w:rPr>
          <w:rFonts w:ascii="Times New Roman"/>
          <w:b/>
          <w:i w:val="false"/>
          <w:color w:val="000000"/>
          <w:sz w:val="24"/>
          <w:lang w:val="pl-PL"/>
        </w:rPr>
        <w:t>Art. 62.</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rozporządzeniu</w:t>
      </w:r>
      <w:r>
        <w:rPr>
          <w:rFonts w:ascii="Times New Roman"/>
          <w:b w:val="false"/>
          <w:i w:val="false"/>
          <w:color w:val="000000"/>
          <w:sz w:val="24"/>
          <w:lang w:val="pl-PL"/>
        </w:rPr>
        <w:t xml:space="preserve"> Prezydenta Rzeczypospolitej z dnia 27 czerwca 1934 r. - Przepisy wprowadzające Kodeks handlowy (Dz. U. Nr 57, poz. 503, z 1945 r. Nr 40, poz. 224, z 1946 r. Nr 31, poz. 197 i Nr 60, poz. 329, z 1947 r. Nr 5, poz. 20, z 1961 r. Nr 58, poz. 319 i z 1964 r. Nr 16, poz. 94) skreśla się </w:t>
      </w:r>
      <w:r>
        <w:rPr>
          <w:rFonts w:ascii="Times New Roman"/>
          <w:b w:val="false"/>
          <w:i w:val="false"/>
          <w:color w:val="1b1b1b"/>
          <w:sz w:val="24"/>
          <w:lang w:val="pl-PL"/>
        </w:rPr>
        <w:t>art. LVII-LXIV</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63.</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17 listopada 1964 r. - Kodeks postępowania cywilnego (Dz. U. Nr 43, poz. 296, z 1965 r. Nr 15, poz. 113, z 1974 r. Nr 27, poz. 157 i Nr 39, poz. 231, z 1975 r. Nr 45, poz. 234, z 1982 r. Nr 11, poz. 82 i Nr 30, poz. 210, z 1983 r. Nr 5, poz. 33, z 1984 r. Nr 45, poz. 241 i 242, z 1985 r. Nr 20, poz. 86, z 1987 r. Nr 21, poz. 123, z 1988 r. Nr 41, poz. 324, z 1989 r. Nr 4, poz. 21 i Nr 33, poz. 175, z 1990 r. Nr 14, poz. 88, Nr 34, poz. 198, Nr 53, poz. 306, Nr 55, poz. 318 i Nr 79, poz. 464, z 1991 r. Nr 7, poz. 24, Nr 22, poz. 92 i Nr 115, poz. 496, z 1993 r. Nr 12, poz. 53, z 1994 r. Nr 105, poz. 509, z 1995 r. Nr 83, poz. 417, z 1996 r. Nr 24, poz. 110, Nr 43, poz. 189, Nr 73, poz. 350 i Nr 149, poz. 703, z 1997 r. Nr 43, poz. 270, Nr 54, poz. 348, Nr 75, poz. 471, Nr 102, poz. 643, Nr 117, poz. 752, Nr 121, poz. 769 i 770, Nr 133, poz. 882, Nr 139, poz. 934, Nr 140, poz. 940 i Nr 141, poz. 944, z 1998 r. Nr 106, poz. 668 i Nr 117, poz. 757, z 1999 r. Nr 52, poz. 532 oraz z 2000 r. Nr 22, poz. 269 i 271, Nr 48 poz. 552 i 554, Nr 55, poz. 665, Nr 73, poz. 852, Nr 94, poz. 1037 i Nr 114, poz. 1191) wprowadza się następujące zmiany: (zmiany pominięte).</w:t>
      </w:r>
    </w:p>
    <w:p>
      <w:pPr>
        <w:spacing w:before="80" w:after="0"/>
        <w:ind w:left="0"/>
        <w:jc w:val="left"/>
        <w:textAlignment w:val="auto"/>
      </w:pPr>
      <w:r>
        <w:rPr>
          <w:rFonts w:ascii="Times New Roman"/>
          <w:b/>
          <w:i w:val="false"/>
          <w:color w:val="000000"/>
          <w:sz w:val="24"/>
          <w:lang w:val="pl-PL"/>
        </w:rPr>
        <w:t>Art. 64.</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25 września 1981 r. o przedsiębiorstwach państwowych (Dz. U. z 1991 r. Nr 18, poz. 80, Nr 75, poz. 329, Nr 101, poz. 444 i Nr 107, poz. 464, z 1993 r. Nr 18, poz. 82 i Nr 60, poz. 280, z 1994 r. Nr 1, poz. 3, Nr 80, poz. 368 i Nr 113, poz. 547, z 1995 r. Nr 1, poz. 2, Nr 95, poz. 474 i Nr 154, poz. 791, z 1996 r. Nr 90, poz. 405, Nr 106, poz. 496, Nr 118, poz. 561 i Nr 156, poz. 775 oraz z 1997 r. Nr 43, poz. 272 i Nr 106, poz. 675) wprowadza się następujące zmiany: (zmiany pominięte).</w:t>
      </w:r>
    </w:p>
    <w:p>
      <w:pPr>
        <w:spacing w:before="80" w:after="0"/>
        <w:ind w:left="0"/>
        <w:jc w:val="left"/>
        <w:textAlignment w:val="auto"/>
      </w:pPr>
      <w:r>
        <w:rPr>
          <w:rFonts w:ascii="Times New Roman"/>
          <w:b/>
          <w:i w:val="false"/>
          <w:color w:val="000000"/>
          <w:sz w:val="24"/>
          <w:lang w:val="pl-PL"/>
        </w:rPr>
        <w:t>Art. 65.</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lipca 1982 r. o zasadach prowadzenia na terytorium Polskiej Rzeczypospolitej Ludowej działalności gospodarczej w zakresie drobnej wytwórczości przez zagraniczne osoby prawne i fizyczne (Dz. U. z 1989 r. Nr 27, poz. 148 i Nr 74, poz. 442, z 1991 r. Nr 60, poz. 253 i Nr 111, poz. 480 oraz z 1994 r. Nr 121, poz. 591) </w:t>
      </w:r>
      <w:r>
        <w:rPr>
          <w:rFonts w:ascii="Times New Roman"/>
          <w:b w:val="false"/>
          <w:i w:val="false"/>
          <w:color w:val="1b1b1b"/>
          <w:sz w:val="24"/>
          <w:lang w:val="pl-PL"/>
        </w:rPr>
        <w:t>art. 17</w:t>
      </w:r>
      <w:r>
        <w:rPr>
          <w:rFonts w:ascii="Times New Roman"/>
          <w:b w:val="false"/>
          <w:i w:val="false"/>
          <w:color w:val="000000"/>
          <w:sz w:val="24"/>
          <w:lang w:val="pl-PL"/>
        </w:rPr>
        <w:t xml:space="preserve"> otrzymuje brzmienie: (zmiany pominięte).</w:t>
      </w:r>
    </w:p>
    <w:p>
      <w:pPr>
        <w:spacing w:before="80" w:after="0"/>
        <w:ind w:left="0"/>
        <w:jc w:val="left"/>
        <w:textAlignment w:val="auto"/>
      </w:pPr>
      <w:r>
        <w:rPr>
          <w:rFonts w:ascii="Times New Roman"/>
          <w:b/>
          <w:i w:val="false"/>
          <w:color w:val="000000"/>
          <w:sz w:val="24"/>
          <w:lang w:val="pl-PL"/>
        </w:rPr>
        <w:t>Art. 66.</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16 września 1982 r. - Prawo spółdzielcze (Dz. U. z 1995 r. Nr 54, poz. 288 i Nr 133, poz. 654, z 1996 r. Nr 5, poz. 32, Nr 24, poz. 110 i Nr 43, poz. 189 oraz z 1997 r. Nr 32, poz. 183 i Nr 111, poz. 723) wprowadza się następujące zmiany: (zmiany pominięte).</w:t>
      </w:r>
    </w:p>
    <w:p>
      <w:pPr>
        <w:spacing w:before="80" w:after="0"/>
        <w:ind w:left="0"/>
        <w:jc w:val="left"/>
        <w:textAlignment w:val="auto"/>
      </w:pPr>
      <w:r>
        <w:rPr>
          <w:rFonts w:ascii="Times New Roman"/>
          <w:b/>
          <w:i w:val="false"/>
          <w:color w:val="000000"/>
          <w:sz w:val="24"/>
          <w:lang w:val="pl-PL"/>
        </w:rPr>
        <w:t>Art. 67.</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8 października 1982 r. o społeczno-zawodowych organizacjach rolników (Dz. U. Nr 32, poz. 217) wprowadza się następujące zmiany: (zmiany pominięte).</w:t>
      </w:r>
    </w:p>
    <w:p>
      <w:pPr>
        <w:spacing w:before="80" w:after="0"/>
        <w:ind w:left="0"/>
        <w:jc w:val="left"/>
        <w:textAlignment w:val="auto"/>
      </w:pPr>
      <w:r>
        <w:rPr>
          <w:rFonts w:ascii="Times New Roman"/>
          <w:b/>
          <w:i w:val="false"/>
          <w:color w:val="000000"/>
          <w:sz w:val="24"/>
          <w:lang w:val="pl-PL"/>
        </w:rPr>
        <w:t>Art. 68.</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kwietnia 1984 r. o fundacjach (Dz. U. z 1991 r. Nr 46, poz. 203) wprowadza się następujące zmiany: (zmiany pominięte).</w:t>
      </w:r>
    </w:p>
    <w:p>
      <w:pPr>
        <w:spacing w:before="80" w:after="0"/>
        <w:ind w:left="0"/>
        <w:jc w:val="left"/>
        <w:textAlignment w:val="auto"/>
      </w:pPr>
      <w:r>
        <w:rPr>
          <w:rFonts w:ascii="Times New Roman"/>
          <w:b/>
          <w:i w:val="false"/>
          <w:color w:val="000000"/>
          <w:sz w:val="24"/>
          <w:lang w:val="pl-PL"/>
        </w:rPr>
        <w:t>Art. 69.</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20 czerwca 1985 r. - Prawo o ustroju sądów powszechnych (Dz. U. z 1994 r. Nr 7, poz. 25, Nr 77, poz. 355, Nr 91, poz. 421 i Nr 105, poz. 509, z 1995 r. Nr 34, poz. 163 i Nr 81, poz. 406, z 1996 r. Nr 77, poz. 367, z 1997 r. Nr 75, poz. 471, Nr 98, poz. 604, Nr 106, poz. 679, Nr 117, poz. 751, 752 i 753, Nr 121, poz. 769, Nr 124, poz. 782 i Nr 133, poz. 882, z 1998 r. Nr 98, poz. 607, Nr 160, poz. 1064 i Nr 162, poz. 1118 i 1125, z 1999 r. Nr 20, poz. 180, Nr 60, poz. 636, Nr 75, poz. 853, Nr 83, poz. 931 i Nr 110, poz. 1255 oraz z 2000 r. Nr 48, poz. 551, Nr 50, poz. 580 i Nr 56, poz. 678) </w:t>
      </w:r>
      <w:r>
        <w:rPr>
          <w:rFonts w:ascii="Times New Roman"/>
          <w:b w:val="false"/>
          <w:i w:val="false"/>
          <w:color w:val="1b1b1b"/>
          <w:sz w:val="24"/>
          <w:lang w:val="pl-PL"/>
        </w:rPr>
        <w:t>art. 27</w:t>
      </w:r>
      <w:r>
        <w:rPr>
          <w:rFonts w:ascii="Times New Roman"/>
          <w:b w:val="false"/>
          <w:i w:val="false"/>
          <w:color w:val="1b1b1b"/>
          <w:sz w:val="24"/>
          <w:vertAlign w:val="superscript"/>
          <w:lang w:val="pl-PL"/>
        </w:rPr>
        <w:t>1</w:t>
      </w:r>
      <w:r>
        <w:rPr>
          <w:rFonts w:ascii="Times New Roman"/>
          <w:b w:val="false"/>
          <w:i w:val="false"/>
          <w:color w:val="000000"/>
          <w:sz w:val="24"/>
          <w:lang w:val="pl-PL"/>
        </w:rPr>
        <w:t xml:space="preserve"> otrzymuje brzmienie: (zmiany pominięte).</w:t>
      </w:r>
    </w:p>
    <w:p>
      <w:pPr>
        <w:spacing w:before="80" w:after="0"/>
        <w:ind w:left="0"/>
        <w:jc w:val="left"/>
        <w:textAlignment w:val="auto"/>
      </w:pPr>
      <w:r>
        <w:rPr>
          <w:rFonts w:ascii="Times New Roman"/>
          <w:b/>
          <w:i w:val="false"/>
          <w:color w:val="000000"/>
          <w:sz w:val="24"/>
          <w:lang w:val="pl-PL"/>
        </w:rPr>
        <w:t>Art. 70.</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25 lipca 1985 r. o jednostkach badawczo-rozwojowych (Dz. U. z 1991 r. Nr 44, poz. 194 i Nr 107, poz. 464, z 1992 r. Nr 54, poz. 254, z 1994 r. Nr 1, poz. 3 i Nr 43, poz. 163, z 1996 r. Nr 41, poz. 175 i Nr 89, poz. 402 oraz z 1997 r. Nr 43, poz. 272, Nr 75, poz. 467 i 469 i Nr 104, poz. 661) wprowadza się następujące zmiany: (zmiany pominięte).</w:t>
      </w:r>
    </w:p>
    <w:p>
      <w:pPr>
        <w:spacing w:before="80" w:after="0"/>
        <w:ind w:left="0"/>
        <w:jc w:val="left"/>
        <w:textAlignment w:val="auto"/>
      </w:pPr>
      <w:r>
        <w:rPr>
          <w:rFonts w:ascii="Times New Roman"/>
          <w:b/>
          <w:i w:val="false"/>
          <w:color w:val="000000"/>
          <w:sz w:val="24"/>
          <w:lang w:val="pl-PL"/>
        </w:rPr>
        <w:t>Art. 71.</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grudnia 1988 r. o działalności gospodarczej (Dz. U. Nr 41, poz. 324, z 1990 r. Nr 26, poz. 149, Nr 34, poz. 198 i Nr 86, poz. 504, z 1991 r. Nr 31, poz. 128, Nr 41, poz. 179, Nr 73, poz. 321, Nr 105, poz. 452, Nr 106, poz. 457 i Nr 107, poz. 460, z 1993 r. Nr 28, poz. 127, Nr 47, poz. 212 i Nr 134, poz. 646, z 1994 r. Nr 27, poz. 96 i Nr 127, poz. 627, z 1995 r. Nr 60, poz. 310, Nr 85, poz. 426, Nr 90, poz. 446, Nr 141, poz. 700 i Nr 147, poz. 713, z 1996 r. Nr 41, poz. 177 i Nr 45, poz. 199 oraz z 1997 r. Nr 9, poz. 44, Nr 23, poz. 117, Nr 43, poz. 272, Nr 54, poz. 348, Nr 60, poz. 369, Nr 75, poz. 471, Nr 88, poz. 554, Nr 96, poz. 591, Nr 98, poz. 602, Nr 106, poz. 677, Nr 113, poz. 733 i Nr 114, poz. 740) wprowadza się następujące zmiany: (zmiany pominięte).</w:t>
      </w:r>
    </w:p>
    <w:p>
      <w:pPr>
        <w:spacing w:before="80" w:after="0"/>
        <w:ind w:left="0"/>
        <w:jc w:val="left"/>
        <w:textAlignment w:val="auto"/>
      </w:pPr>
      <w:r>
        <w:rPr>
          <w:rFonts w:ascii="Times New Roman"/>
          <w:b/>
          <w:i w:val="false"/>
          <w:color w:val="000000"/>
          <w:sz w:val="24"/>
          <w:lang w:val="pl-PL"/>
        </w:rPr>
        <w:t>Art. 72.</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22 marca 1989 r. o rzemiośle (Dz. U. Nr 17, poz. 92) </w:t>
      </w:r>
      <w:r>
        <w:rPr>
          <w:rFonts w:ascii="Times New Roman"/>
          <w:b w:val="false"/>
          <w:i w:val="false"/>
          <w:color w:val="1b1b1b"/>
          <w:sz w:val="24"/>
          <w:lang w:val="pl-PL"/>
        </w:rPr>
        <w:t>art. 19</w:t>
      </w:r>
      <w:r>
        <w:rPr>
          <w:rFonts w:ascii="Times New Roman"/>
          <w:b w:val="false"/>
          <w:i w:val="false"/>
          <w:color w:val="000000"/>
          <w:sz w:val="24"/>
          <w:lang w:val="pl-PL"/>
        </w:rPr>
        <w:t xml:space="preserve"> otrzymuje brzmienie: (zmiany pominięte).</w:t>
      </w:r>
    </w:p>
    <w:p>
      <w:pPr>
        <w:spacing w:before="80" w:after="0"/>
        <w:ind w:left="0"/>
        <w:jc w:val="left"/>
        <w:textAlignment w:val="auto"/>
      </w:pPr>
      <w:r>
        <w:rPr>
          <w:rFonts w:ascii="Times New Roman"/>
          <w:b/>
          <w:i w:val="false"/>
          <w:color w:val="000000"/>
          <w:sz w:val="24"/>
          <w:lang w:val="pl-PL"/>
        </w:rPr>
        <w:t>Art. 73.</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7 kwietnia 1989 r. - Prawo o stowarzyszeniach (Dz. U. Nr 20, poz. 104, z 1990 r. Nr 14, poz. 86 i z 1996 r. Nr 27, poz. 118) wprowadza się następujące zmiany: (zmiany pominięte).</w:t>
      </w:r>
    </w:p>
    <w:p>
      <w:pPr>
        <w:spacing w:before="80" w:after="0"/>
        <w:ind w:left="0"/>
        <w:jc w:val="left"/>
        <w:textAlignment w:val="auto"/>
      </w:pPr>
      <w:r>
        <w:rPr>
          <w:rFonts w:ascii="Times New Roman"/>
          <w:b/>
          <w:i w:val="false"/>
          <w:color w:val="000000"/>
          <w:sz w:val="24"/>
          <w:lang w:val="pl-PL"/>
        </w:rPr>
        <w:t>Art. 74.</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7 kwietnia 1989 r. o związkach zawodowych rolników indywidualnych (Dz. U. Nr 20, poz. 106 i Nr 21, poz. 115) wprowadza się następujące zmiany: (zmiany pominięte).</w:t>
      </w:r>
    </w:p>
    <w:p>
      <w:pPr>
        <w:spacing w:before="80" w:after="0"/>
        <w:ind w:left="0"/>
        <w:jc w:val="left"/>
        <w:textAlignment w:val="auto"/>
      </w:pPr>
      <w:r>
        <w:rPr>
          <w:rFonts w:ascii="Times New Roman"/>
          <w:b/>
          <w:i w:val="false"/>
          <w:color w:val="000000"/>
          <w:sz w:val="24"/>
          <w:lang w:val="pl-PL"/>
        </w:rPr>
        <w:t>Art. 75.</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24 maja 1989 r. o rozpoznawaniu przez sądy spraw gospodarczych (Dz. U. Nr 33, poz. 175 i Nr 41, poz. 229 oraz z 1990 r. Nr 14, poz. 88) skreśla się </w:t>
      </w:r>
      <w:r>
        <w:rPr>
          <w:rFonts w:ascii="Times New Roman"/>
          <w:b w:val="false"/>
          <w:i w:val="false"/>
          <w:color w:val="1b1b1b"/>
          <w:sz w:val="24"/>
          <w:lang w:val="pl-PL"/>
        </w:rPr>
        <w:t>art. 3</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76.</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30 maja 1989 r. o samorządzie zawodowym niektórych podmiotów gospodarczych (Dz. U. Nr 35, poz. 194) </w:t>
      </w:r>
      <w:r>
        <w:rPr>
          <w:rFonts w:ascii="Times New Roman"/>
          <w:b w:val="false"/>
          <w:i w:val="false"/>
          <w:color w:val="1b1b1b"/>
          <w:sz w:val="24"/>
          <w:lang w:val="pl-PL"/>
        </w:rPr>
        <w:t>art. 9</w:t>
      </w:r>
      <w:r>
        <w:rPr>
          <w:rFonts w:ascii="Times New Roman"/>
          <w:b w:val="false"/>
          <w:i w:val="false"/>
          <w:color w:val="000000"/>
          <w:sz w:val="24"/>
          <w:lang w:val="pl-PL"/>
        </w:rPr>
        <w:t xml:space="preserve"> otrzymuje brzmienie: (zmiany pominięte).</w:t>
      </w:r>
    </w:p>
    <w:p>
      <w:pPr>
        <w:spacing w:before="80" w:after="0"/>
        <w:ind w:left="0"/>
        <w:jc w:val="left"/>
        <w:textAlignment w:val="auto"/>
      </w:pPr>
      <w:r>
        <w:rPr>
          <w:rFonts w:ascii="Times New Roman"/>
          <w:b/>
          <w:i w:val="false"/>
          <w:color w:val="000000"/>
          <w:sz w:val="24"/>
          <w:lang w:val="pl-PL"/>
        </w:rPr>
        <w:t>Art. 77.</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30 maja 1989 r. o izbach gospodarczych (Dz. U. Nr 35, poz. 195, z 1992 r. Nr 75, poz. 368 oraz z 1996 r. Nr 43, poz. 189) wprowadza się następujące zmiany: (zmiany pominięte).</w:t>
      </w:r>
    </w:p>
    <w:p>
      <w:pPr>
        <w:spacing w:before="80" w:after="0"/>
        <w:ind w:left="0"/>
        <w:jc w:val="left"/>
        <w:textAlignment w:val="auto"/>
      </w:pPr>
      <w:r>
        <w:rPr>
          <w:rFonts w:ascii="Times New Roman"/>
          <w:b/>
          <w:i w:val="false"/>
          <w:color w:val="000000"/>
          <w:sz w:val="24"/>
          <w:lang w:val="pl-PL"/>
        </w:rPr>
        <w:t>Art. 78.</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17 maja 1990 r. o podziale zadań i kompetencji określonych w ustawach szczególnych pomiędzy organy gminy a organy administracji rządowej oraz o zmianie niektórych ustaw (Dz. U. Nr 34, poz. 198, Nr 43, poz. 253 i Nr 87, poz. 506, z 1991 r. Nr 95, poz. 425, Nr 107, poz. 464 i Nr 114, poz. 492, z 1995 r. Nr 90, poz. 446 oraz z 1996 r. Nr 114, poz. 542) w </w:t>
      </w:r>
      <w:r>
        <w:rPr>
          <w:rFonts w:ascii="Times New Roman"/>
          <w:b w:val="false"/>
          <w:i w:val="false"/>
          <w:color w:val="1b1b1b"/>
          <w:sz w:val="24"/>
          <w:lang w:val="pl-PL"/>
        </w:rPr>
        <w:t>art. 3</w:t>
      </w:r>
      <w:r>
        <w:rPr>
          <w:rFonts w:ascii="Times New Roman"/>
          <w:b w:val="false"/>
          <w:i w:val="false"/>
          <w:color w:val="000000"/>
          <w:sz w:val="24"/>
          <w:lang w:val="pl-PL"/>
        </w:rPr>
        <w:t xml:space="preserve"> skreśla się pkt 21.</w:t>
      </w:r>
    </w:p>
    <w:p>
      <w:pPr>
        <w:spacing w:before="80" w:after="0"/>
        <w:ind w:left="0"/>
        <w:jc w:val="left"/>
        <w:textAlignment w:val="auto"/>
      </w:pPr>
      <w:r>
        <w:rPr>
          <w:rFonts w:ascii="Times New Roman"/>
          <w:b/>
          <w:i w:val="false"/>
          <w:color w:val="000000"/>
          <w:sz w:val="24"/>
          <w:lang w:val="pl-PL"/>
        </w:rPr>
        <w:t>Art. 79.</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28 lipca 1990 r. o działalności ubezpieczeniowej (Dz. U. z 1996 r. Nr 11, poz. 62 oraz z 1997 r. Nr 43, poz. 272, Nr 88, poz. 554 i Nr 107, poz. 685) wprowadza się następujące zmiany: (zmiany pominięte).</w:t>
      </w:r>
    </w:p>
    <w:p>
      <w:pPr>
        <w:spacing w:before="80" w:after="0"/>
        <w:ind w:left="0"/>
        <w:jc w:val="left"/>
        <w:textAlignment w:val="auto"/>
      </w:pPr>
      <w:r>
        <w:rPr>
          <w:rFonts w:ascii="Times New Roman"/>
          <w:b/>
          <w:i w:val="false"/>
          <w:color w:val="000000"/>
          <w:sz w:val="24"/>
          <w:lang w:val="pl-PL"/>
        </w:rPr>
        <w:t>Art. 80.</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maja 1991 r. o związkach zawodowych (Dz. U. Nr 55, poz. 234, z 1994 r. Nr 43, poz. 163, z 1996 r. Nr 1, poz. 2, Nr 24, poz. 110, Nr 61, poz. 283, Nr 75, poz. 355 i Nr 152, poz. 723 oraz z 1997 r. Nr 82, poz. 518, Nr 88, poz. 554 i Nr 96, poz. 589) wprowadza się następujące zmiany: (zmiany pominięte).</w:t>
      </w:r>
    </w:p>
    <w:p>
      <w:pPr>
        <w:spacing w:before="80" w:after="0"/>
        <w:ind w:left="0"/>
        <w:jc w:val="left"/>
        <w:textAlignment w:val="auto"/>
      </w:pPr>
      <w:r>
        <w:rPr>
          <w:rFonts w:ascii="Times New Roman"/>
          <w:b/>
          <w:i w:val="false"/>
          <w:color w:val="000000"/>
          <w:sz w:val="24"/>
          <w:lang w:val="pl-PL"/>
        </w:rPr>
        <w:t>Art. 81.</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23 maja 1991 r. o organizacjach pracodawców (Dz. U. Nr 55, poz. 235 i z 1996 r. Nr 34, poz. 148) wprowadza się następujące zmiany: (zmiany pominięte).</w:t>
      </w:r>
    </w:p>
    <w:p>
      <w:pPr>
        <w:spacing w:before="80" w:after="0"/>
        <w:ind w:left="0"/>
        <w:jc w:val="left"/>
        <w:textAlignment w:val="auto"/>
      </w:pPr>
      <w:r>
        <w:rPr>
          <w:rFonts w:ascii="Times New Roman"/>
          <w:b/>
          <w:i w:val="false"/>
          <w:color w:val="000000"/>
          <w:sz w:val="24"/>
          <w:lang w:val="pl-PL"/>
        </w:rPr>
        <w:t>Art. 82.</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30 sierpnia 1991 r. o zakładach opieki zdrowotnej (Dz. U. Nr 91, poz. 408, z 1992 r. Nr 63, poz. 315, z 1994 r. Nr 121, poz. 591, z 1995 r. Nr 138, poz. 682, z 1996 r. Nr 24, poz. 110 i z 1997 r. Nr 104, poz. 661) wprowadza się następujące zmiany: (zmiany pominięte).</w:t>
      </w:r>
    </w:p>
    <w:p>
      <w:pPr>
        <w:spacing w:before="80" w:after="0"/>
        <w:ind w:left="0"/>
        <w:jc w:val="left"/>
        <w:textAlignment w:val="auto"/>
      </w:pPr>
      <w:r>
        <w:rPr>
          <w:rFonts w:ascii="Times New Roman"/>
          <w:b/>
          <w:i w:val="false"/>
          <w:color w:val="000000"/>
          <w:sz w:val="24"/>
          <w:lang w:val="pl-PL"/>
        </w:rPr>
        <w:t>Art. 83.</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29 czerwca 1995 r. o statystyce publicznej (Dz. U. Nr 88, poz. 439, z 1996 r. Nr 156, poz. 775 i z 1997 r. Nr 88, poz. 554) wprowadza się następujące zmiany: (zmiany pominięte).</w:t>
      </w:r>
    </w:p>
    <w:p>
      <w:pPr>
        <w:spacing w:before="80" w:after="0"/>
        <w:ind w:left="0"/>
        <w:jc w:val="left"/>
        <w:textAlignment w:val="auto"/>
      </w:pPr>
      <w:r>
        <w:rPr>
          <w:rFonts w:ascii="Times New Roman"/>
          <w:b/>
          <w:i w:val="false"/>
          <w:color w:val="000000"/>
          <w:sz w:val="24"/>
          <w:lang w:val="pl-PL"/>
        </w:rPr>
        <w:t>Art. 84.</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18 stycznia 1996 r. o kulturze fizycznej (Dz. U. Nr 25, poz. 113 i Nr 137, poz. 639 oraz z 1997 r. Nr 106, poz. 680) wprowadza się następujące zmiany: (zmiany pominięte).</w:t>
      </w:r>
    </w:p>
    <w:p>
      <w:pPr>
        <w:spacing w:before="80" w:after="0"/>
        <w:ind w:left="0"/>
        <w:jc w:val="left"/>
        <w:textAlignment w:val="auto"/>
      </w:pPr>
      <w:r>
        <w:rPr>
          <w:rFonts w:ascii="Times New Roman"/>
          <w:b/>
          <w:i w:val="false"/>
          <w:color w:val="000000"/>
          <w:sz w:val="24"/>
          <w:lang w:val="pl-PL"/>
        </w:rPr>
        <w:t>Art. 85.</w:t>
      </w:r>
    </w:p>
    <w:p>
      <w:pPr>
        <w:spacing w:after="0"/>
        <w:ind w:left="0"/>
        <w:jc w:val="left"/>
        <w:textAlignment w:val="auto"/>
      </w:pPr>
      <w:r>
        <w:rPr>
          <w:rFonts w:ascii="Times New Roman"/>
          <w:b w:val="false"/>
          <w:i w:val="false"/>
          <w:color w:val="000000"/>
          <w:sz w:val="24"/>
          <w:lang w:val="pl-PL"/>
        </w:rPr>
        <w:t xml:space="preserve">W </w:t>
      </w:r>
      <w:r>
        <w:rPr>
          <w:rFonts w:ascii="Times New Roman"/>
          <w:b w:val="false"/>
          <w:i w:val="false"/>
          <w:color w:val="1b1b1b"/>
          <w:sz w:val="24"/>
          <w:lang w:val="pl-PL"/>
        </w:rPr>
        <w:t>ustawie</w:t>
      </w:r>
      <w:r>
        <w:rPr>
          <w:rFonts w:ascii="Times New Roman"/>
          <w:b w:val="false"/>
          <w:i w:val="false"/>
          <w:color w:val="000000"/>
          <w:sz w:val="24"/>
          <w:lang w:val="pl-PL"/>
        </w:rPr>
        <w:t xml:space="preserve"> z dnia 6 grudnia 1996 r. o zastawie rejestrowym i rejestrze zastawów (Dz. U. Nr 149, poz. 703) wprowadza się następujące zmiany: (zmiany pominięte).</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[Nazwy stosowane w innych ustawach na oznaczenie </w:t>
      </w:r>
      <w:r>
        <w:rPr>
          <w:rFonts w:ascii="Times New Roman"/>
          <w:b/>
          <w:i/>
          <w:color w:val="000000"/>
          <w:sz w:val="24"/>
          <w:lang w:val="pl-PL"/>
        </w:rPr>
        <w:t>Krajowego Rejestru Sądowego</w:t>
      </w:r>
    </w:p>
    <w:p>
      <w:pPr>
        <w:spacing w:after="0"/>
        <w:ind w:left="0"/>
        <w:jc w:val="left"/>
        <w:textAlignment w:val="auto"/>
      </w:pPr>
      <w:r>
        <w:rPr>
          <w:rFonts w:ascii="Times New Roman"/>
          <w:b/>
          <w:i w:val="false"/>
          <w:color w:val="000000"/>
          <w:sz w:val="24"/>
          <w:lang w:val="pl-PL"/>
        </w:rPr>
        <w:t>]</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Ilekroć w przepisach ustaw innych niż wymienione w niniejszym rozdziale jest mowa o rejestrach: handlowym, przedsiębiorstw państwowych, stowarzyszeń, fundacji, rozumie się przez to </w:t>
      </w:r>
      <w:r>
        <w:rPr>
          <w:rFonts w:ascii="Times New Roman"/>
          <w:b w:val="false"/>
          <w:i/>
          <w:color w:val="000000"/>
          <w:sz w:val="24"/>
          <w:lang w:val="pl-PL"/>
        </w:rPr>
        <w:t>Krajowy Rejestr Sądowy</w:t>
      </w:r>
    </w:p>
    <w:p>
      <w:pPr>
        <w:spacing w:after="0"/>
        <w:ind w:left="0"/>
        <w:jc w:val="left"/>
        <w:textAlignment w:val="auto"/>
      </w:pP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[Ogłoszenie tekstu jednolitego ustawy o zastawie skarbowym i rejestrze zastawów]</w:t>
      </w:r>
    </w:p>
    <w:p>
      <w:pPr>
        <w:spacing w:after="0"/>
        <w:ind w:left="0"/>
        <w:jc w:val="left"/>
        <w:textAlignment w:val="auto"/>
      </w:pPr>
      <w:r>
        <w:rPr>
          <w:rFonts w:ascii="Times New Roman"/>
          <w:b w:val="false"/>
          <w:i w:val="false"/>
          <w:color w:val="000000"/>
          <w:sz w:val="24"/>
          <w:lang w:val="pl-PL"/>
        </w:rPr>
        <w:t xml:space="preserve">Minister Sprawiedliwości ogłosi w Dzienniku Ustaw Rzeczypospolitej Polskiej jednolity tekst </w:t>
      </w:r>
      <w:r>
        <w:rPr>
          <w:rFonts w:ascii="Times New Roman"/>
          <w:b w:val="false"/>
          <w:i w:val="false"/>
          <w:color w:val="1b1b1b"/>
          <w:sz w:val="24"/>
          <w:lang w:val="pl-PL"/>
        </w:rPr>
        <w:t>ustawy</w:t>
      </w:r>
      <w:r>
        <w:rPr>
          <w:rFonts w:ascii="Times New Roman"/>
          <w:b w:val="false"/>
          <w:i w:val="false"/>
          <w:color w:val="000000"/>
          <w:sz w:val="24"/>
          <w:lang w:val="pl-PL"/>
        </w:rPr>
        <w:t xml:space="preserve"> z dnia 6 grudnia 1996 r. o zastawie rejestrowym i rejestrze zastawów, z uwzględnieniem zmian wynikających z przepisów ogłoszonych przed dniem wydania jednolitego tekstu.</w:t>
      </w:r>
    </w:p>
    <w:p>
      <w:pPr>
        <w:spacing w:before="80" w:after="0"/>
        <w:ind w:left="0"/>
        <w:jc w:val="left"/>
        <w:textAlignment w:val="auto"/>
      </w:pPr>
      <w:r>
        <w:rPr>
          <w:rFonts w:ascii="Times New Roman"/>
          <w:b/>
          <w:i w:val="false"/>
          <w:color w:val="000000"/>
          <w:sz w:val="24"/>
          <w:lang w:val="pl-PL"/>
        </w:rPr>
        <w:t xml:space="preserve"> Art. 88.</w:t>
      </w:r>
      <w:r>
        <w:rPr>
          <w:rFonts w:ascii="Times New Roman"/>
          <w:b/>
          <w:i w:val="false"/>
          <w:color w:val="000000"/>
          <w:sz w:val="24"/>
          <w:lang w:val="pl-PL"/>
        </w:rPr>
        <w:t xml:space="preserve"> [Wejście w życie ustawy]</w:t>
      </w:r>
    </w:p>
    <w:p>
      <w:pPr>
        <w:pBdr>
          <w:top w:val="single" w:color="ffbd69" w:sz="8"/>
          <w:left w:val="single" w:color="ffbd69" w:sz="8" w:space="2"/>
          <w:bottom w:val="single" w:color="ffbd69" w:sz="8"/>
          <w:right w:val="single" w:color="ffbd69" w:sz="8" w:space="2"/>
        </w:pBdr>
        <w:spacing w:after="0"/>
        <w:ind w:left="0"/>
        <w:jc w:val="left"/>
        <w:textAlignment w:val="auto"/>
      </w:pPr>
      <w:r>
        <w:rPr>
          <w:rFonts w:ascii="Times New Roman"/>
          <w:b w:val="false"/>
          <w:i w:val="false"/>
          <w:color w:val="000000"/>
          <w:sz w:val="24"/>
          <w:lang w:val="pl-PL"/>
        </w:rPr>
        <w:t xml:space="preserve">Ustawa wchodzi w życie w terminie i na zasadach określonych ustawą - Przepisy wprowadzające </w:t>
      </w:r>
      <w:r>
        <w:rPr>
          <w:rFonts w:ascii="Times New Roman"/>
          <w:b w:val="false"/>
          <w:i/>
          <w:color w:val="000000"/>
          <w:sz w:val="24"/>
          <w:lang w:val="pl-PL"/>
        </w:rPr>
        <w:t>ustawę o Krajowym Rejestrze Sądowym</w:t>
      </w:r>
    </w:p>
    <w:p>
      <w:pPr>
        <w:spacing w:after="0"/>
        <w:ind w:left="0"/>
        <w:jc w:val="left"/>
        <w:textAlignment w:val="auto"/>
      </w:pP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43</w:t>
      </w:r>
      <w:r>
        <w:rPr>
          <w:rFonts w:ascii="Times New Roman"/>
          <w:b w:val="false"/>
          <w:i w:val="false"/>
          <w:color w:val="000000"/>
          <w:sz w:val="24"/>
          <w:lang w:val="pl-PL"/>
        </w:rPr>
        <w:t xml:space="preserve"> , z wyjątkiem: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6</w:t>
      </w:r>
      <w:r>
        <w:rPr>
          <w:rFonts w:ascii="Times New Roman"/>
          <w:b w:val="false"/>
          <w:i w:val="false"/>
          <w:color w:val="000000"/>
          <w:sz w:val="24"/>
          <w:lang w:val="pl-PL"/>
        </w:rPr>
        <w:t xml:space="preserve">, </w:t>
      </w:r>
      <w:r>
        <w:rPr>
          <w:rFonts w:ascii="Times New Roman"/>
          <w:b w:val="false"/>
          <w:i w:val="false"/>
          <w:color w:val="1b1b1b"/>
          <w:sz w:val="24"/>
          <w:lang w:val="pl-PL"/>
        </w:rPr>
        <w:t>art. 19 ust. 4</w:t>
      </w:r>
      <w:r>
        <w:rPr>
          <w:rFonts w:ascii="Times New Roman"/>
          <w:b w:val="false"/>
          <w:i w:val="false"/>
          <w:color w:val="000000"/>
          <w:sz w:val="24"/>
          <w:lang w:val="pl-PL"/>
        </w:rPr>
        <w:t xml:space="preserve">, </w:t>
      </w:r>
      <w:r>
        <w:rPr>
          <w:rFonts w:ascii="Times New Roman"/>
          <w:b w:val="false"/>
          <w:i w:val="false"/>
          <w:color w:val="1b1b1b"/>
          <w:sz w:val="24"/>
          <w:lang w:val="pl-PL"/>
        </w:rPr>
        <w:t>art. 48</w:t>
      </w:r>
      <w:r>
        <w:rPr>
          <w:rFonts w:ascii="Times New Roman"/>
          <w:b w:val="false"/>
          <w:i w:val="false"/>
          <w:color w:val="000000"/>
          <w:sz w:val="24"/>
          <w:lang w:val="pl-PL"/>
        </w:rPr>
        <w:t xml:space="preserve">, </w:t>
      </w:r>
      <w:r>
        <w:rPr>
          <w:rFonts w:ascii="Times New Roman"/>
          <w:b w:val="false"/>
          <w:i w:val="false"/>
          <w:color w:val="1b1b1b"/>
          <w:sz w:val="24"/>
          <w:lang w:val="pl-PL"/>
        </w:rPr>
        <w:t>art. 54</w:t>
      </w:r>
      <w:r>
        <w:rPr>
          <w:rFonts w:ascii="Times New Roman"/>
          <w:b w:val="false"/>
          <w:i w:val="false"/>
          <w:color w:val="000000"/>
          <w:sz w:val="24"/>
          <w:lang w:val="pl-PL"/>
        </w:rPr>
        <w:t xml:space="preserve">, </w:t>
      </w:r>
      <w:r>
        <w:rPr>
          <w:rFonts w:ascii="Times New Roman"/>
          <w:b w:val="false"/>
          <w:i w:val="false"/>
          <w:color w:val="1b1b1b"/>
          <w:sz w:val="24"/>
          <w:lang w:val="pl-PL"/>
        </w:rPr>
        <w:t>art. 83</w:t>
      </w:r>
      <w:r>
        <w:rPr>
          <w:rFonts w:ascii="Times New Roman"/>
          <w:b w:val="false"/>
          <w:i w:val="false"/>
          <w:color w:val="000000"/>
          <w:sz w:val="24"/>
          <w:lang w:val="pl-PL"/>
        </w:rPr>
        <w:t xml:space="preserve"> i </w:t>
      </w:r>
      <w:r>
        <w:rPr>
          <w:rFonts w:ascii="Times New Roman"/>
          <w:b w:val="false"/>
          <w:i w:val="false"/>
          <w:color w:val="1b1b1b"/>
          <w:sz w:val="24"/>
          <w:lang w:val="pl-PL"/>
        </w:rPr>
        <w:t>art. 87</w:t>
      </w:r>
      <w:r>
        <w:rPr>
          <w:rFonts w:ascii="Times New Roman"/>
          <w:b w:val="false"/>
          <w:i w:val="false"/>
          <w:color w:val="000000"/>
          <w:sz w:val="24"/>
          <w:lang w:val="pl-PL"/>
        </w:rPr>
        <w:t xml:space="preserve">, które wchodzą w życie po upływie 14 dni od dnia ogłoszenia </w:t>
      </w:r>
      <w:r>
        <w:rPr>
          <w:rFonts w:ascii="Times New Roman"/>
          <w:b w:val="false"/>
          <w:i w:val="false"/>
          <w:color w:val="000000"/>
          <w:sz w:val="24"/>
          <w:vertAlign w:val="superscript"/>
          <w:lang w:val="pl-PL"/>
        </w:rPr>
        <w:t>44</w:t>
      </w:r>
      <w:r>
        <w:rPr>
          <w:rFonts w:ascii="Times New Roman"/>
          <w:b w:val="false"/>
          <w:i w:val="false"/>
          <w:color w:val="000000"/>
          <w:sz w:val="24"/>
          <w:lang w:val="pl-PL"/>
        </w:rPr>
        <w:t xml:space="preserve"> ;</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przepisów </w:t>
      </w:r>
      <w:r>
        <w:rPr>
          <w:rFonts w:ascii="Times New Roman"/>
          <w:b w:val="false"/>
          <w:i w:val="false"/>
          <w:color w:val="1b1b1b"/>
          <w:sz w:val="24"/>
          <w:lang w:val="pl-PL"/>
        </w:rPr>
        <w:t>art. 85</w:t>
      </w:r>
      <w:r>
        <w:rPr>
          <w:rFonts w:ascii="Times New Roman"/>
          <w:b w:val="false"/>
          <w:i w:val="false"/>
          <w:color w:val="000000"/>
          <w:sz w:val="24"/>
          <w:lang w:val="pl-PL"/>
        </w:rPr>
        <w:t>, które wchodzą w życie z dniem 1 stycznia 1998 r.</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Art. 2 ust. 2 uchylony przez </w:t>
      </w:r>
      <w:r>
        <w:rPr>
          <w:rFonts w:ascii="Times New Roman"/>
          <w:b w:val="false"/>
          <w:i w:val="false"/>
          <w:color w:val="1b1b1b"/>
          <w:sz w:val="24"/>
          <w:lang w:val="pl-PL"/>
        </w:rPr>
        <w:t>art. 1 pkt 1</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2 ust. 3 uchylony przez </w:t>
      </w:r>
      <w:r>
        <w:rPr>
          <w:rFonts w:ascii="Times New Roman"/>
          <w:b w:val="false"/>
          <w:i w:val="false"/>
          <w:color w:val="1b1b1b"/>
          <w:sz w:val="24"/>
          <w:lang w:val="pl-PL"/>
        </w:rPr>
        <w:t>art. 1 pkt 1</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Ustawa</w:t>
      </w:r>
      <w:r>
        <w:rPr>
          <w:rFonts w:ascii="Times New Roman"/>
          <w:b w:val="false"/>
          <w:i w:val="false"/>
          <w:color w:val="000000"/>
          <w:sz w:val="24"/>
          <w:lang w:val="pl-PL"/>
        </w:rPr>
        <w:t xml:space="preserve"> utraciła moc z dniem 25 maja 2018 r. z wyjątkiem art. 1, art. 2, art. 3 ust. 1, art. 4-7, art. 14-22, art. 23-28, art. 31 oraz rozdziałów 4, 5 i 7, które zachowały moc w odniesieniu do przetwarzania danych osobowych w celu rozpoznawania, zapobiegania, wykrywania i zwalczania czynów zabronionych, prowadzenia postępowań w sprawach dotyczących tych czynów oraz wykonywania orzeczeń w nich wydanych, kar porządkowych i środków przymusu w zakresie określonym w przepisach stanowiących podstawę działania służb i organów uprawnionych do realizacji zadań w tym zakresie, w terminie do dnia wejścia w życie przepisów wdrażających </w:t>
      </w:r>
      <w:r>
        <w:rPr>
          <w:rFonts w:ascii="Times New Roman"/>
          <w:b w:val="false"/>
          <w:i w:val="false"/>
          <w:color w:val="1b1b1b"/>
          <w:sz w:val="24"/>
          <w:lang w:val="pl-PL"/>
        </w:rPr>
        <w:t>dyrektywę</w:t>
      </w:r>
      <w:r>
        <w:rPr>
          <w:rFonts w:ascii="Times New Roman"/>
          <w:b w:val="false"/>
          <w:i w:val="false"/>
          <w:color w:val="000000"/>
          <w:sz w:val="24"/>
          <w:lang w:val="pl-PL"/>
        </w:rPr>
        <w:t xml:space="preserve">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uchylającą decyzję ramową Rady 2008/977/WSiSW (Dz. Urz. UE L 119 z 04.05.2016, str. 89), na podstawie </w:t>
      </w:r>
      <w:r>
        <w:rPr>
          <w:rFonts w:ascii="Times New Roman"/>
          <w:b w:val="false"/>
          <w:i w:val="false"/>
          <w:color w:val="1b1b1b"/>
          <w:sz w:val="24"/>
          <w:lang w:val="pl-PL"/>
        </w:rPr>
        <w:t>art. 175</w:t>
      </w:r>
      <w:r>
        <w:rPr>
          <w:rFonts w:ascii="Times New Roman"/>
          <w:b w:val="false"/>
          <w:i w:val="false"/>
          <w:color w:val="000000"/>
          <w:sz w:val="24"/>
          <w:lang w:val="pl-PL"/>
        </w:rPr>
        <w:t xml:space="preserve"> ustawy z dnia 10 maja 2018 r. o ochronie danych osobowych (Dz.U.2018.1000), która weszła w życie z dniem 25 maja 2018 r. Przepisy ustawy wymienione w zdaniu pierwszym utraciły moc z dniem 6 lutego 2019 r., na podstawie </w:t>
      </w:r>
      <w:r>
        <w:rPr>
          <w:rFonts w:ascii="Times New Roman"/>
          <w:b w:val="false"/>
          <w:i w:val="false"/>
          <w:color w:val="1b1b1b"/>
          <w:sz w:val="24"/>
          <w:lang w:val="pl-PL"/>
        </w:rPr>
        <w:t>art. 107</w:t>
      </w:r>
      <w:r>
        <w:rPr>
          <w:rFonts w:ascii="Times New Roman"/>
          <w:b w:val="false"/>
          <w:i w:val="false"/>
          <w:color w:val="000000"/>
          <w:sz w:val="24"/>
          <w:lang w:val="pl-PL"/>
        </w:rPr>
        <w:t xml:space="preserve"> ustawy z dnia 14 grudnia 2018 r. o ochronie danych osobowych przetwarzanych w związku z zapobieganiem i zwalczaniem przestępczości (Dz.U.2019.125), która weszła w życie z dniem 6 lutego 2019 r.</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Art. 4 ust. 4c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5</w:t>
      </w:r>
      <w:r>
        <w:rPr>
          <w:rFonts w:ascii="Times New Roman"/>
          <w:b w:val="false"/>
          <w:i w:val="false"/>
          <w:color w:val="000000"/>
          <w:sz w:val="24"/>
          <w:lang w:val="pl-PL"/>
        </w:rPr>
        <w:t xml:space="preserve"> Art. 4 ust. 4d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6</w:t>
      </w:r>
      <w:r>
        <w:rPr>
          <w:rFonts w:ascii="Times New Roman"/>
          <w:b w:val="false"/>
          <w:i w:val="false"/>
          <w:color w:val="000000"/>
          <w:sz w:val="24"/>
          <w:lang w:val="pl-PL"/>
        </w:rPr>
        <w:t xml:space="preserve"> Art. 4 ust. 4e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7</w:t>
      </w:r>
      <w:r>
        <w:rPr>
          <w:rFonts w:ascii="Times New Roman"/>
          <w:b w:val="false"/>
          <w:i w:val="false"/>
          <w:color w:val="000000"/>
          <w:sz w:val="24"/>
          <w:lang w:val="pl-PL"/>
        </w:rPr>
        <w:t xml:space="preserve"> Art. 4 ust. 4f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8</w:t>
      </w:r>
      <w:r>
        <w:rPr>
          <w:rFonts w:ascii="Times New Roman"/>
          <w:b w:val="false"/>
          <w:i w:val="false"/>
          <w:color w:val="000000"/>
          <w:sz w:val="24"/>
          <w:lang w:val="pl-PL"/>
        </w:rPr>
        <w:t xml:space="preserve"> Art. 4 ust. 4g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9</w:t>
      </w:r>
      <w:r>
        <w:rPr>
          <w:rFonts w:ascii="Times New Roman"/>
          <w:b w:val="false"/>
          <w:i w:val="false"/>
          <w:color w:val="000000"/>
          <w:sz w:val="24"/>
          <w:lang w:val="pl-PL"/>
        </w:rPr>
        <w:t xml:space="preserve"> Art. 4 ust. 4h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10</w:t>
      </w:r>
      <w:r>
        <w:rPr>
          <w:rFonts w:ascii="Times New Roman"/>
          <w:b w:val="false"/>
          <w:i w:val="false"/>
          <w:color w:val="000000"/>
          <w:sz w:val="24"/>
          <w:lang w:val="pl-PL"/>
        </w:rPr>
        <w:t xml:space="preserve"> Art. 4 ust. 4i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11</w:t>
      </w:r>
      <w:r>
        <w:rPr>
          <w:rFonts w:ascii="Times New Roman"/>
          <w:b w:val="false"/>
          <w:i w:val="false"/>
          <w:color w:val="000000"/>
          <w:sz w:val="24"/>
          <w:lang w:val="pl-PL"/>
        </w:rPr>
        <w:t xml:space="preserve"> Art. 4 ust. 4j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12</w:t>
      </w:r>
      <w:r>
        <w:rPr>
          <w:rFonts w:ascii="Times New Roman"/>
          <w:b w:val="false"/>
          <w:i w:val="false"/>
          <w:color w:val="000000"/>
          <w:sz w:val="24"/>
          <w:lang w:val="pl-PL"/>
        </w:rPr>
        <w:t xml:space="preserve"> Art. 4 ust. 4k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13</w:t>
      </w:r>
      <w:r>
        <w:rPr>
          <w:rFonts w:ascii="Times New Roman"/>
          <w:b w:val="false"/>
          <w:i w:val="false"/>
          <w:color w:val="000000"/>
          <w:sz w:val="24"/>
          <w:lang w:val="pl-PL"/>
        </w:rPr>
        <w:t xml:space="preserve"> Art. 4 ust. 4l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14</w:t>
      </w:r>
      <w:r>
        <w:rPr>
          <w:rFonts w:ascii="Times New Roman"/>
          <w:b w:val="false"/>
          <w:i w:val="false"/>
          <w:color w:val="000000"/>
          <w:sz w:val="24"/>
          <w:lang w:val="pl-PL"/>
        </w:rPr>
        <w:t xml:space="preserve"> Art. 4 ust. 4m dodany przez </w:t>
      </w:r>
      <w:r>
        <w:rPr>
          <w:rFonts w:ascii="Times New Roman"/>
          <w:b w:val="false"/>
          <w:i w:val="false"/>
          <w:color w:val="1b1b1b"/>
          <w:sz w:val="24"/>
          <w:lang w:val="pl-PL"/>
        </w:rPr>
        <w:t>art. 1 pkt 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15</w:t>
      </w:r>
      <w:r>
        <w:rPr>
          <w:rFonts w:ascii="Times New Roman"/>
          <w:b w:val="false"/>
          <w:i w:val="false"/>
          <w:color w:val="000000"/>
          <w:sz w:val="24"/>
          <w:lang w:val="pl-PL"/>
        </w:rPr>
        <w:t xml:space="preserve"> Art. 4d ust. 2 pkt 4 dodany przez </w:t>
      </w:r>
      <w:r>
        <w:rPr>
          <w:rFonts w:ascii="Times New Roman"/>
          <w:b w:val="false"/>
          <w:i w:val="false"/>
          <w:color w:val="1b1b1b"/>
          <w:sz w:val="24"/>
          <w:lang w:val="pl-PL"/>
        </w:rPr>
        <w:t>art. 5 pkt 1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16</w:t>
      </w:r>
      <w:r>
        <w:rPr>
          <w:rFonts w:ascii="Times New Roman"/>
          <w:b w:val="false"/>
          <w:i w:val="false"/>
          <w:color w:val="000000"/>
          <w:sz w:val="24"/>
          <w:lang w:val="pl-PL"/>
        </w:rPr>
        <w:t xml:space="preserve"> Art. 4d ust. 5 pkt 5 dodany przez </w:t>
      </w:r>
      <w:r>
        <w:rPr>
          <w:rFonts w:ascii="Times New Roman"/>
          <w:b w:val="false"/>
          <w:i w:val="false"/>
          <w:color w:val="1b1b1b"/>
          <w:sz w:val="24"/>
          <w:lang w:val="pl-PL"/>
        </w:rPr>
        <w:t>art. 5 pkt 1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17</w:t>
      </w:r>
      <w:r>
        <w:rPr>
          <w:rFonts w:ascii="Times New Roman"/>
          <w:b w:val="false"/>
          <w:i w:val="false"/>
          <w:color w:val="000000"/>
          <w:sz w:val="24"/>
          <w:lang w:val="pl-PL"/>
        </w:rPr>
        <w:t xml:space="preserve"> Art. 10a ust. 1a dodany przez </w:t>
      </w:r>
      <w:r>
        <w:rPr>
          <w:rFonts w:ascii="Times New Roman"/>
          <w:b w:val="false"/>
          <w:i w:val="false"/>
          <w:color w:val="1b1b1b"/>
          <w:sz w:val="24"/>
          <w:lang w:val="pl-PL"/>
        </w:rPr>
        <w:t>art. 2 pkt 1</w:t>
      </w:r>
      <w:r>
        <w:rPr>
          <w:rFonts w:ascii="Times New Roman"/>
          <w:b w:val="false"/>
          <w:i w:val="false"/>
          <w:color w:val="000000"/>
          <w:sz w:val="24"/>
          <w:lang w:val="pl-PL"/>
        </w:rPr>
        <w:t xml:space="preserve"> ustawy z dnia 9 stycznia 2026 r. (Dz.U.2026.119) zmieniającej nin. ustawę z dniem 31 maja 2026 r.</w:t>
      </w:r>
    </w:p>
    <w:p>
      <w:pPr>
        <w:spacing w:after="0"/>
        <w:ind w:left="0"/>
        <w:jc w:val="left"/>
        <w:textAlignment w:val="auto"/>
      </w:pPr>
      <w:r>
        <w:rPr>
          <w:rFonts w:ascii="Times New Roman"/>
          <w:b w:val="false"/>
          <w:i w:val="false"/>
          <w:color w:val="000000"/>
          <w:sz w:val="24"/>
          <w:vertAlign w:val="superscript"/>
          <w:lang w:val="pl-PL"/>
        </w:rPr>
        <w:t>18</w:t>
      </w:r>
      <w:r>
        <w:rPr>
          <w:rFonts w:ascii="Times New Roman"/>
          <w:b w:val="false"/>
          <w:i w:val="false"/>
          <w:color w:val="000000"/>
          <w:sz w:val="24"/>
          <w:lang w:val="pl-PL"/>
        </w:rPr>
        <w:t xml:space="preserve"> Art. 10a ust. 2 zmieniony przez </w:t>
      </w:r>
      <w:r>
        <w:rPr>
          <w:rFonts w:ascii="Times New Roman"/>
          <w:b w:val="false"/>
          <w:i w:val="false"/>
          <w:color w:val="1b1b1b"/>
          <w:sz w:val="24"/>
          <w:lang w:val="pl-PL"/>
        </w:rPr>
        <w:t>art. 2 pkt 2</w:t>
      </w:r>
      <w:r>
        <w:rPr>
          <w:rFonts w:ascii="Times New Roman"/>
          <w:b w:val="false"/>
          <w:i w:val="false"/>
          <w:color w:val="000000"/>
          <w:sz w:val="24"/>
          <w:lang w:val="pl-PL"/>
        </w:rPr>
        <w:t xml:space="preserve"> ustawy z dnia 9 stycznia 2026 r. (Dz.U.2026.119) zmieniającej nin. ustawę z dniem 31 maja 2026 r.</w:t>
      </w:r>
    </w:p>
    <w:p>
      <w:pPr>
        <w:spacing w:after="0"/>
        <w:ind w:left="0"/>
        <w:jc w:val="left"/>
        <w:textAlignment w:val="auto"/>
      </w:pPr>
      <w:r>
        <w:rPr>
          <w:rFonts w:ascii="Times New Roman"/>
          <w:b w:val="false"/>
          <w:i w:val="false"/>
          <w:color w:val="000000"/>
          <w:sz w:val="24"/>
          <w:vertAlign w:val="superscript"/>
          <w:lang w:val="pl-PL"/>
        </w:rPr>
        <w:t>19</w:t>
      </w:r>
      <w:r>
        <w:rPr>
          <w:rFonts w:ascii="Times New Roman"/>
          <w:b w:val="false"/>
          <w:i w:val="false"/>
          <w:color w:val="000000"/>
          <w:sz w:val="24"/>
          <w:lang w:val="pl-PL"/>
        </w:rPr>
        <w:t xml:space="preserve"> Art. 10a ust. 3 zmieniony przez </w:t>
      </w:r>
      <w:r>
        <w:rPr>
          <w:rFonts w:ascii="Times New Roman"/>
          <w:b w:val="false"/>
          <w:i w:val="false"/>
          <w:color w:val="1b1b1b"/>
          <w:sz w:val="24"/>
          <w:lang w:val="pl-PL"/>
        </w:rPr>
        <w:t>art. 2 pkt 3</w:t>
      </w:r>
      <w:r>
        <w:rPr>
          <w:rFonts w:ascii="Times New Roman"/>
          <w:b w:val="false"/>
          <w:i w:val="false"/>
          <w:color w:val="000000"/>
          <w:sz w:val="24"/>
          <w:lang w:val="pl-PL"/>
        </w:rPr>
        <w:t xml:space="preserve"> ustawy z dnia 9 stycznia 2026 r. (Dz.U.2026.119) zmieniającej nin. ustawę z dniem 31 maja 2026 r.</w:t>
      </w:r>
    </w:p>
    <w:p>
      <w:pPr>
        <w:spacing w:after="0"/>
        <w:ind w:left="0"/>
        <w:jc w:val="left"/>
        <w:textAlignment w:val="auto"/>
      </w:pPr>
      <w:r>
        <w:rPr>
          <w:rFonts w:ascii="Times New Roman"/>
          <w:b w:val="false"/>
          <w:i w:val="false"/>
          <w:color w:val="000000"/>
          <w:sz w:val="24"/>
          <w:vertAlign w:val="superscript"/>
          <w:lang w:val="pl-PL"/>
        </w:rPr>
        <w:t>20</w:t>
      </w:r>
      <w:r>
        <w:rPr>
          <w:rFonts w:ascii="Times New Roman"/>
          <w:b w:val="false"/>
          <w:i w:val="false"/>
          <w:color w:val="000000"/>
          <w:sz w:val="24"/>
          <w:lang w:val="pl-PL"/>
        </w:rPr>
        <w:t xml:space="preserve"> Art. 10a ust. 4 zdanie wstępne zmienione przez </w:t>
      </w:r>
      <w:r>
        <w:rPr>
          <w:rFonts w:ascii="Times New Roman"/>
          <w:b w:val="false"/>
          <w:i w:val="false"/>
          <w:color w:val="1b1b1b"/>
          <w:sz w:val="24"/>
          <w:lang w:val="pl-PL"/>
        </w:rPr>
        <w:t>art. 2 pkt 4</w:t>
      </w:r>
      <w:r>
        <w:rPr>
          <w:rFonts w:ascii="Times New Roman"/>
          <w:b w:val="false"/>
          <w:i w:val="false"/>
          <w:color w:val="000000"/>
          <w:sz w:val="24"/>
          <w:lang w:val="pl-PL"/>
        </w:rPr>
        <w:t xml:space="preserve"> ustawy z dnia 9 stycznia 2026 r. (Dz.U.2026.119) zmieniającej nin. ustawę z dniem 31 maja 2026 r.</w:t>
      </w:r>
    </w:p>
    <w:p>
      <w:pPr>
        <w:spacing w:after="0"/>
        <w:ind w:left="0"/>
        <w:jc w:val="left"/>
        <w:textAlignment w:val="auto"/>
      </w:pPr>
      <w:r>
        <w:rPr>
          <w:rFonts w:ascii="Times New Roman"/>
          <w:b w:val="false"/>
          <w:i w:val="false"/>
          <w:color w:val="000000"/>
          <w:sz w:val="24"/>
          <w:vertAlign w:val="superscript"/>
          <w:lang w:val="pl-PL"/>
        </w:rPr>
        <w:t>21</w:t>
      </w:r>
      <w:r>
        <w:rPr>
          <w:rFonts w:ascii="Times New Roman"/>
          <w:b w:val="false"/>
          <w:i w:val="false"/>
          <w:color w:val="000000"/>
          <w:sz w:val="24"/>
          <w:lang w:val="pl-PL"/>
        </w:rPr>
        <w:t xml:space="preserve"> Art. 13 uchylony przez </w:t>
      </w:r>
      <w:r>
        <w:rPr>
          <w:rFonts w:ascii="Times New Roman"/>
          <w:b w:val="false"/>
          <w:i w:val="false"/>
          <w:color w:val="1b1b1b"/>
          <w:sz w:val="24"/>
          <w:lang w:val="pl-PL"/>
        </w:rPr>
        <w:t>art. 1 pkt 4</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22</w:t>
      </w:r>
      <w:r>
        <w:rPr>
          <w:rFonts w:ascii="Times New Roman"/>
          <w:b w:val="false"/>
          <w:i w:val="false"/>
          <w:color w:val="000000"/>
          <w:sz w:val="24"/>
          <w:lang w:val="pl-PL"/>
        </w:rPr>
        <w:t xml:space="preserve"> Art. 15 ust. 1 zmieniony przez </w:t>
      </w:r>
      <w:r>
        <w:rPr>
          <w:rFonts w:ascii="Times New Roman"/>
          <w:b w:val="false"/>
          <w:i w:val="false"/>
          <w:color w:val="1b1b1b"/>
          <w:sz w:val="24"/>
          <w:lang w:val="pl-PL"/>
        </w:rPr>
        <w:t>art. 1 pkt 5 lit. a</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23</w:t>
      </w:r>
      <w:r>
        <w:rPr>
          <w:rFonts w:ascii="Times New Roman"/>
          <w:b w:val="false"/>
          <w:i w:val="false"/>
          <w:color w:val="000000"/>
          <w:sz w:val="24"/>
          <w:lang w:val="pl-PL"/>
        </w:rPr>
        <w:t xml:space="preserve"> Art. 15 ust. 2 uchylony przez </w:t>
      </w:r>
      <w:r>
        <w:rPr>
          <w:rFonts w:ascii="Times New Roman"/>
          <w:b w:val="false"/>
          <w:i w:val="false"/>
          <w:color w:val="1b1b1b"/>
          <w:sz w:val="24"/>
          <w:lang w:val="pl-PL"/>
        </w:rPr>
        <w:t>art. 1 pkt 5 lit. b</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24</w:t>
      </w:r>
      <w:r>
        <w:rPr>
          <w:rFonts w:ascii="Times New Roman"/>
          <w:b w:val="false"/>
          <w:i w:val="false"/>
          <w:color w:val="000000"/>
          <w:sz w:val="24"/>
          <w:lang w:val="pl-PL"/>
        </w:rPr>
        <w:t xml:space="preserve"> Art. 15 ust. 3 zmieniony przez </w:t>
      </w:r>
      <w:r>
        <w:rPr>
          <w:rFonts w:ascii="Times New Roman"/>
          <w:b w:val="false"/>
          <w:i w:val="false"/>
          <w:color w:val="1b1b1b"/>
          <w:sz w:val="24"/>
          <w:lang w:val="pl-PL"/>
        </w:rPr>
        <w:t>art. 1 pkt 5 lit. c</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25</w:t>
      </w:r>
      <w:r>
        <w:rPr>
          <w:rFonts w:ascii="Times New Roman"/>
          <w:b w:val="false"/>
          <w:i w:val="false"/>
          <w:color w:val="000000"/>
          <w:sz w:val="24"/>
          <w:lang w:val="pl-PL"/>
        </w:rPr>
        <w:t xml:space="preserve"> Art. 16 uchylony przez </w:t>
      </w:r>
      <w:r>
        <w:rPr>
          <w:rFonts w:ascii="Times New Roman"/>
          <w:b w:val="false"/>
          <w:i w:val="false"/>
          <w:color w:val="1b1b1b"/>
          <w:sz w:val="24"/>
          <w:lang w:val="pl-PL"/>
        </w:rPr>
        <w:t>art. 1 pkt 6</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26</w:t>
      </w:r>
      <w:r>
        <w:rPr>
          <w:rFonts w:ascii="Times New Roman"/>
          <w:b w:val="false"/>
          <w:i w:val="false"/>
          <w:color w:val="000000"/>
          <w:sz w:val="24"/>
          <w:lang w:val="pl-PL"/>
        </w:rPr>
        <w:t xml:space="preserve"> Art. 19a ust. 6 zmieniony przez </w:t>
      </w:r>
      <w:r>
        <w:rPr>
          <w:rFonts w:ascii="Times New Roman"/>
          <w:b w:val="false"/>
          <w:i w:val="false"/>
          <w:color w:val="1b1b1b"/>
          <w:sz w:val="24"/>
          <w:lang w:val="pl-PL"/>
        </w:rPr>
        <w:t>art. 1 pkt 8</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27</w:t>
      </w:r>
      <w:r>
        <w:rPr>
          <w:rFonts w:ascii="Times New Roman"/>
          <w:b w:val="false"/>
          <w:i w:val="false"/>
          <w:color w:val="000000"/>
          <w:sz w:val="24"/>
          <w:lang w:val="pl-PL"/>
        </w:rPr>
        <w:t xml:space="preserve"> Art. 20 ust. 1a zmieniony przez </w:t>
      </w:r>
      <w:r>
        <w:rPr>
          <w:rFonts w:ascii="Times New Roman"/>
          <w:b w:val="false"/>
          <w:i w:val="false"/>
          <w:color w:val="1b1b1b"/>
          <w:sz w:val="24"/>
          <w:lang w:val="pl-PL"/>
        </w:rPr>
        <w:t>art. 6 pkt 1 lit. a</w:t>
      </w:r>
      <w:r>
        <w:rPr>
          <w:rFonts w:ascii="Times New Roman"/>
          <w:b w:val="false"/>
          <w:i w:val="false"/>
          <w:color w:val="000000"/>
          <w:sz w:val="24"/>
          <w:lang w:val="pl-PL"/>
        </w:rPr>
        <w:t xml:space="preserve"> ustawy z dnia 21 listopada 2025 r. (Dz.U.2025.1792) zmieniającej nin. ustawę z dniem 31 grudnia 2025 r.</w:t>
      </w:r>
    </w:p>
    <w:p>
      <w:pPr>
        <w:spacing w:after="0"/>
        <w:ind w:left="0"/>
        <w:jc w:val="left"/>
        <w:textAlignment w:val="auto"/>
      </w:pPr>
      <w:r>
        <w:rPr>
          <w:rFonts w:ascii="Times New Roman"/>
          <w:b w:val="false"/>
          <w:i w:val="false"/>
          <w:color w:val="000000"/>
          <w:sz w:val="24"/>
          <w:vertAlign w:val="superscript"/>
          <w:lang w:val="pl-PL"/>
        </w:rPr>
        <w:t>28</w:t>
      </w:r>
      <w:r>
        <w:rPr>
          <w:rFonts w:ascii="Times New Roman"/>
          <w:b w:val="false"/>
          <w:i w:val="false"/>
          <w:color w:val="000000"/>
          <w:sz w:val="24"/>
          <w:lang w:val="pl-PL"/>
        </w:rPr>
        <w:t xml:space="preserve"> Art. 20 ust. 1c pkt 2 zmieniony przez </w:t>
      </w:r>
      <w:r>
        <w:rPr>
          <w:rFonts w:ascii="Times New Roman"/>
          <w:b w:val="false"/>
          <w:i w:val="false"/>
          <w:color w:val="1b1b1b"/>
          <w:sz w:val="24"/>
          <w:lang w:val="pl-PL"/>
        </w:rPr>
        <w:t>art. 6 pkt 1 lit. b</w:t>
      </w:r>
      <w:r>
        <w:rPr>
          <w:rFonts w:ascii="Times New Roman"/>
          <w:b w:val="false"/>
          <w:i w:val="false"/>
          <w:color w:val="000000"/>
          <w:sz w:val="24"/>
          <w:lang w:val="pl-PL"/>
        </w:rPr>
        <w:t xml:space="preserve"> ustawy z dnia 21 listopada 2025 r. (Dz.U.2025.1792) zmieniającej nin. ustawę z dniem 31 grudnia 2025 r.</w:t>
      </w:r>
    </w:p>
    <w:p>
      <w:pPr>
        <w:spacing w:after="0"/>
        <w:ind w:left="0"/>
        <w:jc w:val="left"/>
        <w:textAlignment w:val="auto"/>
      </w:pPr>
      <w:r>
        <w:rPr>
          <w:rFonts w:ascii="Times New Roman"/>
          <w:b w:val="false"/>
          <w:i w:val="false"/>
          <w:color w:val="000000"/>
          <w:sz w:val="24"/>
          <w:vertAlign w:val="superscript"/>
          <w:lang w:val="pl-PL"/>
        </w:rPr>
        <w:t>29</w:t>
      </w:r>
      <w:r>
        <w:rPr>
          <w:rFonts w:ascii="Times New Roman"/>
          <w:b w:val="false"/>
          <w:i w:val="false"/>
          <w:color w:val="000000"/>
          <w:sz w:val="24"/>
          <w:lang w:val="pl-PL"/>
        </w:rPr>
        <w:t xml:space="preserve"> Art. 20 ust. 1d zmieniony przez </w:t>
      </w:r>
      <w:r>
        <w:rPr>
          <w:rFonts w:ascii="Times New Roman"/>
          <w:b w:val="false"/>
          <w:i w:val="false"/>
          <w:color w:val="1b1b1b"/>
          <w:sz w:val="24"/>
          <w:lang w:val="pl-PL"/>
        </w:rPr>
        <w:t>art. 1 pkt 9 lit. a</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30</w:t>
      </w:r>
      <w:r>
        <w:rPr>
          <w:rFonts w:ascii="Times New Roman"/>
          <w:b w:val="false"/>
          <w:i w:val="false"/>
          <w:color w:val="000000"/>
          <w:sz w:val="24"/>
          <w:lang w:val="pl-PL"/>
        </w:rPr>
        <w:t xml:space="preserve"> Art. 20 ust. 1i uchylony przez </w:t>
      </w:r>
      <w:r>
        <w:rPr>
          <w:rFonts w:ascii="Times New Roman"/>
          <w:b w:val="false"/>
          <w:i w:val="false"/>
          <w:color w:val="1b1b1b"/>
          <w:sz w:val="24"/>
          <w:lang w:val="pl-PL"/>
        </w:rPr>
        <w:t>art. 1 pkt 9 lit. b</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31</w:t>
      </w:r>
      <w:r>
        <w:rPr>
          <w:rFonts w:ascii="Times New Roman"/>
          <w:b w:val="false"/>
          <w:i w:val="false"/>
          <w:color w:val="000000"/>
          <w:sz w:val="24"/>
          <w:lang w:val="pl-PL"/>
        </w:rPr>
        <w:t xml:space="preserve"> Art. 20 ust. 2 zmieniony przez </w:t>
      </w:r>
      <w:r>
        <w:rPr>
          <w:rFonts w:ascii="Times New Roman"/>
          <w:b w:val="false"/>
          <w:i w:val="false"/>
          <w:color w:val="1b1b1b"/>
          <w:sz w:val="24"/>
          <w:lang w:val="pl-PL"/>
        </w:rPr>
        <w:t>art. 6 pkt 1 lit. b</w:t>
      </w:r>
      <w:r>
        <w:rPr>
          <w:rFonts w:ascii="Times New Roman"/>
          <w:b w:val="false"/>
          <w:i w:val="false"/>
          <w:color w:val="000000"/>
          <w:sz w:val="24"/>
          <w:lang w:val="pl-PL"/>
        </w:rPr>
        <w:t xml:space="preserve"> ustawy z dnia 21 listopada 2025 r. (Dz.U.2025.1792) zmieniającej nin. ustawę z dniem 31 grudnia 2025 r.</w:t>
      </w:r>
    </w:p>
    <w:p>
      <w:pPr>
        <w:spacing w:after="0"/>
        <w:ind w:left="0"/>
        <w:jc w:val="left"/>
        <w:textAlignment w:val="auto"/>
      </w:pPr>
      <w:r>
        <w:rPr>
          <w:rFonts w:ascii="Times New Roman"/>
          <w:b w:val="false"/>
          <w:i w:val="false"/>
          <w:color w:val="000000"/>
          <w:sz w:val="24"/>
          <w:vertAlign w:val="superscript"/>
          <w:lang w:val="pl-PL"/>
        </w:rPr>
        <w:t>32</w:t>
      </w:r>
      <w:r>
        <w:rPr>
          <w:rFonts w:ascii="Times New Roman"/>
          <w:b w:val="false"/>
          <w:i w:val="false"/>
          <w:color w:val="000000"/>
          <w:sz w:val="24"/>
          <w:lang w:val="pl-PL"/>
        </w:rPr>
        <w:t xml:space="preserve"> Art. 20 ust. 3 zmieniony przez </w:t>
      </w:r>
      <w:r>
        <w:rPr>
          <w:rFonts w:ascii="Times New Roman"/>
          <w:b w:val="false"/>
          <w:i w:val="false"/>
          <w:color w:val="1b1b1b"/>
          <w:sz w:val="24"/>
          <w:lang w:val="pl-PL"/>
        </w:rPr>
        <w:t>art. 1 pkt 9 lit. c</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33</w:t>
      </w:r>
      <w:r>
        <w:rPr>
          <w:rFonts w:ascii="Times New Roman"/>
          <w:b w:val="false"/>
          <w:i w:val="false"/>
          <w:color w:val="000000"/>
          <w:sz w:val="24"/>
          <w:lang w:val="pl-PL"/>
        </w:rPr>
        <w:t xml:space="preserve"> Art. 20c ust. 3 zmieniony przez </w:t>
      </w:r>
      <w:r>
        <w:rPr>
          <w:rFonts w:ascii="Times New Roman"/>
          <w:b w:val="false"/>
          <w:i w:val="false"/>
          <w:color w:val="1b1b1b"/>
          <w:sz w:val="24"/>
          <w:lang w:val="pl-PL"/>
        </w:rPr>
        <w:t>art. 1 pkt 10</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34</w:t>
      </w:r>
      <w:r>
        <w:rPr>
          <w:rFonts w:ascii="Times New Roman"/>
          <w:b w:val="false"/>
          <w:i w:val="false"/>
          <w:color w:val="000000"/>
          <w:sz w:val="24"/>
          <w:lang w:val="pl-PL"/>
        </w:rPr>
        <w:t xml:space="preserve"> Art. 20e dodany przez </w:t>
      </w:r>
      <w:r>
        <w:rPr>
          <w:rFonts w:ascii="Times New Roman"/>
          <w:b w:val="false"/>
          <w:i w:val="false"/>
          <w:color w:val="1b1b1b"/>
          <w:sz w:val="24"/>
          <w:lang w:val="pl-PL"/>
        </w:rPr>
        <w:t>art. 6 pkt 2</w:t>
      </w:r>
      <w:r>
        <w:rPr>
          <w:rFonts w:ascii="Times New Roman"/>
          <w:b w:val="false"/>
          <w:i w:val="false"/>
          <w:color w:val="000000"/>
          <w:sz w:val="24"/>
          <w:lang w:val="pl-PL"/>
        </w:rPr>
        <w:t xml:space="preserve"> ustawy z dnia 21 listopada 2025 r. (Dz.U.2025.1792) zmieniającej nin. ustawę z dniem 31 grudnia 2025 r.</w:t>
      </w:r>
    </w:p>
    <w:p>
      <w:pPr>
        <w:spacing w:after="0"/>
        <w:ind w:left="0"/>
        <w:jc w:val="left"/>
        <w:textAlignment w:val="auto"/>
      </w:pPr>
      <w:r>
        <w:rPr>
          <w:rFonts w:ascii="Times New Roman"/>
          <w:b w:val="false"/>
          <w:i w:val="false"/>
          <w:color w:val="000000"/>
          <w:sz w:val="24"/>
          <w:vertAlign w:val="superscript"/>
          <w:lang w:val="pl-PL"/>
        </w:rPr>
        <w:t>35</w:t>
      </w:r>
      <w:r>
        <w:rPr>
          <w:rFonts w:ascii="Times New Roman"/>
          <w:b w:val="false"/>
          <w:i w:val="false"/>
          <w:color w:val="000000"/>
          <w:sz w:val="24"/>
          <w:lang w:val="pl-PL"/>
        </w:rPr>
        <w:t xml:space="preserve"> Art. 21 ust. 4 dodany przez </w:t>
      </w:r>
      <w:r>
        <w:rPr>
          <w:rFonts w:ascii="Times New Roman"/>
          <w:b w:val="false"/>
          <w:i w:val="false"/>
          <w:color w:val="1b1b1b"/>
          <w:sz w:val="24"/>
          <w:lang w:val="pl-PL"/>
        </w:rPr>
        <w:t>art. 5 pkt 2</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36</w:t>
      </w:r>
      <w:r>
        <w:rPr>
          <w:rFonts w:ascii="Times New Roman"/>
          <w:b w:val="false"/>
          <w:i w:val="false"/>
          <w:color w:val="000000"/>
          <w:sz w:val="24"/>
          <w:lang w:val="pl-PL"/>
        </w:rPr>
        <w:t xml:space="preserve"> Art. 22 zmieniony przez </w:t>
      </w:r>
      <w:r>
        <w:rPr>
          <w:rFonts w:ascii="Times New Roman"/>
          <w:b w:val="false"/>
          <w:i w:val="false"/>
          <w:color w:val="1b1b1b"/>
          <w:sz w:val="24"/>
          <w:lang w:val="pl-PL"/>
        </w:rPr>
        <w:t>art. 6 pkt 3</w:t>
      </w:r>
      <w:r>
        <w:rPr>
          <w:rFonts w:ascii="Times New Roman"/>
          <w:b w:val="false"/>
          <w:i w:val="false"/>
          <w:color w:val="000000"/>
          <w:sz w:val="24"/>
          <w:lang w:val="pl-PL"/>
        </w:rPr>
        <w:t xml:space="preserve"> ustawy z dnia 21 listopada 2025 r. (Dz.U.2025.1792) zmieniającej nin. ustawę z dniem 31 grudnia 2025 r.</w:t>
      </w:r>
    </w:p>
    <w:p>
      <w:pPr>
        <w:spacing w:after="0"/>
        <w:ind w:left="0"/>
        <w:jc w:val="left"/>
        <w:textAlignment w:val="auto"/>
      </w:pPr>
      <w:r>
        <w:rPr>
          <w:rFonts w:ascii="Times New Roman"/>
          <w:b w:val="false"/>
          <w:i w:val="false"/>
          <w:color w:val="000000"/>
          <w:sz w:val="24"/>
          <w:vertAlign w:val="superscript"/>
          <w:lang w:val="pl-PL"/>
        </w:rPr>
        <w:t>37</w:t>
      </w:r>
      <w:r>
        <w:rPr>
          <w:rFonts w:ascii="Times New Roman"/>
          <w:b w:val="false"/>
          <w:i w:val="false"/>
          <w:color w:val="000000"/>
          <w:sz w:val="24"/>
          <w:lang w:val="pl-PL"/>
        </w:rPr>
        <w:t xml:space="preserve"> Art. 35 pkt 3 zmieniony przez </w:t>
      </w:r>
      <w:r>
        <w:rPr>
          <w:rFonts w:ascii="Times New Roman"/>
          <w:b w:val="false"/>
          <w:i w:val="false"/>
          <w:color w:val="1b1b1b"/>
          <w:sz w:val="24"/>
          <w:lang w:val="pl-PL"/>
        </w:rPr>
        <w:t>art. 6 pkt 4</w:t>
      </w:r>
      <w:r>
        <w:rPr>
          <w:rFonts w:ascii="Times New Roman"/>
          <w:b w:val="false"/>
          <w:i w:val="false"/>
          <w:color w:val="000000"/>
          <w:sz w:val="24"/>
          <w:lang w:val="pl-PL"/>
        </w:rPr>
        <w:t xml:space="preserve"> ustawy z dnia 21 listopada 2025 r. (Dz.U.2025.1792) zmieniającej nin. ustawę z dniem 31 grudnia 2025 r.</w:t>
      </w:r>
    </w:p>
    <w:p>
      <w:pPr>
        <w:spacing w:after="0"/>
        <w:ind w:left="0"/>
        <w:jc w:val="left"/>
        <w:textAlignment w:val="auto"/>
      </w:pPr>
      <w:r>
        <w:rPr>
          <w:rFonts w:ascii="Times New Roman"/>
          <w:b w:val="false"/>
          <w:i w:val="false"/>
          <w:color w:val="000000"/>
          <w:sz w:val="24"/>
          <w:vertAlign w:val="superscript"/>
          <w:lang w:val="pl-PL"/>
        </w:rPr>
        <w:t>38</w:t>
      </w:r>
      <w:r>
        <w:rPr>
          <w:rFonts w:ascii="Times New Roman"/>
          <w:b w:val="false"/>
          <w:i w:val="false"/>
          <w:color w:val="000000"/>
          <w:sz w:val="24"/>
          <w:lang w:val="pl-PL"/>
        </w:rPr>
        <w:t xml:space="preserve"> Art. 42 zmieniony przez </w:t>
      </w:r>
      <w:r>
        <w:rPr>
          <w:rFonts w:ascii="Times New Roman"/>
          <w:b w:val="false"/>
          <w:i w:val="false"/>
          <w:color w:val="1b1b1b"/>
          <w:sz w:val="24"/>
          <w:lang w:val="pl-PL"/>
        </w:rPr>
        <w:t>art. 1 pkt 11</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39</w:t>
      </w:r>
      <w:r>
        <w:rPr>
          <w:rFonts w:ascii="Times New Roman"/>
          <w:b w:val="false"/>
          <w:i w:val="false"/>
          <w:color w:val="000000"/>
          <w:sz w:val="24"/>
          <w:lang w:val="pl-PL"/>
        </w:rPr>
        <w:t xml:space="preserve"> Art. 47a ust. 4 zmieniony przez </w:t>
      </w:r>
      <w:r>
        <w:rPr>
          <w:rFonts w:ascii="Times New Roman"/>
          <w:b w:val="false"/>
          <w:i w:val="false"/>
          <w:color w:val="1b1b1b"/>
          <w:sz w:val="24"/>
          <w:lang w:val="pl-PL"/>
        </w:rPr>
        <w:t>art. 1 pkt 12</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40</w:t>
      </w:r>
      <w:r>
        <w:rPr>
          <w:rFonts w:ascii="Times New Roman"/>
          <w:b w:val="false"/>
          <w:i w:val="false"/>
          <w:color w:val="000000"/>
          <w:sz w:val="24"/>
          <w:lang w:val="pl-PL"/>
        </w:rPr>
        <w:t xml:space="preserve"> Art. 49 ust. 2 uchylony przez </w:t>
      </w:r>
      <w:r>
        <w:rPr>
          <w:rFonts w:ascii="Times New Roman"/>
          <w:b w:val="false"/>
          <w:i w:val="false"/>
          <w:color w:val="1b1b1b"/>
          <w:sz w:val="24"/>
          <w:lang w:val="pl-PL"/>
        </w:rPr>
        <w:t>art. 1 pkt 13</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41</w:t>
      </w:r>
      <w:r>
        <w:rPr>
          <w:rFonts w:ascii="Times New Roman"/>
          <w:b w:val="false"/>
          <w:i w:val="false"/>
          <w:color w:val="000000"/>
          <w:sz w:val="24"/>
          <w:lang w:val="pl-PL"/>
        </w:rPr>
        <w:t xml:space="preserve"> Art. 58 uchylony przez </w:t>
      </w:r>
      <w:r>
        <w:rPr>
          <w:rFonts w:ascii="Times New Roman"/>
          <w:b w:val="false"/>
          <w:i w:val="false"/>
          <w:color w:val="1b1b1b"/>
          <w:sz w:val="24"/>
          <w:lang w:val="pl-PL"/>
        </w:rPr>
        <w:t>art. 1 pkt 14</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42</w:t>
      </w:r>
      <w:r>
        <w:rPr>
          <w:rFonts w:ascii="Times New Roman"/>
          <w:b w:val="false"/>
          <w:i w:val="false"/>
          <w:color w:val="000000"/>
          <w:sz w:val="24"/>
          <w:lang w:val="pl-PL"/>
        </w:rPr>
        <w:t xml:space="preserve"> Rozdział 4a dodany przez </w:t>
      </w:r>
      <w:r>
        <w:rPr>
          <w:rFonts w:ascii="Times New Roman"/>
          <w:b w:val="false"/>
          <w:i w:val="false"/>
          <w:color w:val="1b1b1b"/>
          <w:sz w:val="24"/>
          <w:lang w:val="pl-PL"/>
        </w:rPr>
        <w:t>art. 1 pkt 15</w:t>
      </w:r>
      <w:r>
        <w:rPr>
          <w:rFonts w:ascii="Times New Roman"/>
          <w:b w:val="false"/>
          <w:i w:val="false"/>
          <w:color w:val="000000"/>
          <w:sz w:val="24"/>
          <w:lang w:val="pl-PL"/>
        </w:rPr>
        <w:t xml:space="preserve"> ustawy z dnia 26 września 2025 r. (Dz.U.2025.1556) zmieniającej nin. ustawę z dniem 29 listopada 2025 r.</w:t>
      </w:r>
    </w:p>
    <w:p>
      <w:pPr>
        <w:spacing w:after="0"/>
        <w:ind w:left="0"/>
        <w:jc w:val="left"/>
        <w:textAlignment w:val="auto"/>
      </w:pPr>
      <w:r>
        <w:rPr>
          <w:rFonts w:ascii="Times New Roman"/>
          <w:b w:val="false"/>
          <w:i w:val="false"/>
          <w:color w:val="000000"/>
          <w:sz w:val="24"/>
          <w:vertAlign w:val="superscript"/>
          <w:lang w:val="pl-PL"/>
        </w:rPr>
        <w:t>43</w:t>
      </w:r>
      <w:r>
        <w:rPr>
          <w:rFonts w:ascii="Times New Roman"/>
          <w:b w:val="false"/>
          <w:i w:val="false"/>
          <w:color w:val="000000"/>
          <w:sz w:val="24"/>
          <w:lang w:val="pl-PL"/>
        </w:rPr>
        <w:t xml:space="preserve"> Ustawa weszła w życie z dniem 1 stycznia 2001 r., na podstawie </w:t>
      </w:r>
      <w:r>
        <w:rPr>
          <w:rFonts w:ascii="Times New Roman"/>
          <w:b w:val="false"/>
          <w:i w:val="false"/>
          <w:color w:val="1b1b1b"/>
          <w:sz w:val="24"/>
          <w:lang w:val="pl-PL"/>
        </w:rPr>
        <w:t>art. 1</w:t>
      </w:r>
      <w:r>
        <w:rPr>
          <w:rFonts w:ascii="Times New Roman"/>
          <w:b w:val="false"/>
          <w:i w:val="false"/>
          <w:color w:val="000000"/>
          <w:sz w:val="24"/>
          <w:lang w:val="pl-PL"/>
        </w:rPr>
        <w:t xml:space="preserve"> ustawy z dnia 20 sierpnia 1997 r. - Przepisy wprowadzające ustawę o Krajowym Rejestrze Sądowym (Dz. U. poz. 770 oraz z 2000 r. poz. 1194), z wyjątkiem art. 38 pkt 1 lit. f, który wszedł w życie z dniem 1 kwietnia 2001 r.</w:t>
      </w:r>
    </w:p>
    <w:p>
      <w:pPr>
        <w:spacing w:after="0"/>
        <w:ind w:left="0"/>
        <w:jc w:val="left"/>
        <w:textAlignment w:val="auto"/>
      </w:pPr>
      <w:r>
        <w:rPr>
          <w:rFonts w:ascii="Times New Roman"/>
          <w:b w:val="false"/>
          <w:i w:val="false"/>
          <w:color w:val="000000"/>
          <w:sz w:val="24"/>
          <w:vertAlign w:val="superscript"/>
          <w:lang w:val="pl-PL"/>
        </w:rPr>
        <w:t>44</w:t>
      </w:r>
      <w:r>
        <w:rPr>
          <w:rFonts w:ascii="Times New Roman"/>
          <w:b w:val="false"/>
          <w:i w:val="false"/>
          <w:color w:val="000000"/>
          <w:sz w:val="24"/>
          <w:lang w:val="pl-PL"/>
        </w:rPr>
        <w:t xml:space="preserve"> Ustawa została ogłoszona w dniu 7 października 1997 r.</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