
<file path=[Content_Types].xml><?xml version="1.0" encoding="utf-8"?>
<Types xmlns="http://schemas.openxmlformats.org/package/2006/content-types">
  <Default Extension="rels" ContentType="application/vnd.openxmlformats-package.relationships+xml"/>
  <Override ContentType="application/vnd.openxmlformats-officedocument.extended-properties+xml" PartName="/docProps/app.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Types>
</file>

<file path=_rels/.rels><?xml version="1.0" encoding="UTF-8" standalone="yes"?>
<Relationships xmlns="http://schemas.openxmlformats.org/package/2006/relationships">
    <Relationship Target="word/document.xml" Type="http://schemas.openxmlformats.org/officeDocument/2006/relationships/officeDocument" Id="rId1"/>
    <Relationship Target="docProps/core.xml" Type="http://schemas.openxmlformats.org/package/2006/relationships/metadata/core-properties" Id="rId2"/>
    <Relationship Target="docProps/app.xml" Type="http://schemas.openxmlformats.org/officeDocument/2006/relationships/extended-properties" Id="rId3"/>
</Relationships>

</file>

<file path=word/document.xml><?xml version="1.0" encoding="utf-8"?>
<w:document xmlns:w="http://schemas.openxmlformats.org/wordprocessingml/2006/main" xmlns:m="http://schemas.openxmlformats.org/officeDocument/2006/math" xmlns:w14="http://schemas.microsoft.com/office/word/2010/wordml" xmlns:r="http://schemas.openxmlformats.org/officeDocument/2006/relationships" xmlns:wp="http://schemas.openxmlformats.org/drawingml/2006/wordprocessingDrawing" xmlns:a="http://schemas.openxmlformats.org/drawingml/2006/main" xmlns:wp14="http://schemas.microsoft.com/office/word/2010/wordprocessingDrawing" xmlns:w15="http://schemas.microsoft.com/office/word/2012/wordml" xmlns:mc="http://schemas.openxmlformats.org/markup-compatibility/2006" xmlns:a14="http://schemas.microsoft.com/office/drawing/2010/main" xmlns:sl="http://schemas.openxmlformats.org/schemaLibrary/2006/main" xmlns:wne="http://schemas.microsoft.com/office/word/2006/wordml" xmlns:c="http://schemas.openxmlformats.org/drawingml/2006/chart" xmlns:cdr="http://schemas.openxmlformats.org/drawingml/2006/chartDrawing" xmlns:c14="http://schemas.microsoft.com/office/drawing/2007/8/2/chart" xmlns:dgm="http://schemas.openxmlformats.org/drawingml/2006/diagram" xmlns:pic="http://schemas.openxmlformats.org/drawingml/2006/picture" xmlns:xdr="http://schemas.openxmlformats.org/drawingml/2006/spreadsheetDrawing" xmlns:dsp="http://schemas.microsoft.com/office/drawing/2008/diagram" xmlns:xvml="urn:schemas-microsoft-com:office:excel" xmlns:o="urn:schemas-microsoft-com:office:office" xmlns:w10="urn:schemas-microsoft-com:office:word" xmlns:v="urn:schemas-microsoft-com:vml" xmlns:pvml="urn:schemas-microsoft-com:office:powerpoint" xmlns:cppr="http://schemas.microsoft.com/office/2006/coverPageProps" xmlns:odx="http://opendope.org/xpaths" xmlns:odc="http://opendope.org/conditions" xmlns:odq="http://opendope.org/questions" xmlns:oda="http://opendope.org/answers" xmlns:odi="http://opendope.org/components" xmlns:odgm="http://opendope.org/SmartArt/DataHierarchy" xmlns:b="http://schemas.openxmlformats.org/officeDocument/2006/bibliography" xmlns:msink="http://schemas.microsoft.com/ink/2010/main" xmlns:cdr14="http://schemas.microsoft.com/office/drawing/2010/chartDrawing" xmlns:c15="http://schemas.microsoft.com/office/drawing/2012/chart" xmlns:cs="http://schemas.microsoft.com/office/drawing/2012/chartStyle" xmlns:ns38="http://www.w3.org/1998/Math/MathML" xmlns:ns39="http://www.w3.org/2003/InkML" xmlns:a13cmd="http://schemas.microsoft.com/office/drawing/2013/main/command" xmlns:cx="http://schemas.microsoft.com/office/drawing/2014/chartex" xmlns:c16="http://schemas.microsoft.com/office/drawing/2014/chart" xmlns:dgm1611="http://schemas.microsoft.com/office/drawing/2016/11/diagram" xmlns:c173="http://schemas.microsoft.com/office/drawing/2017/03/chart" xmlns:am3d="http://schemas.microsoft.com/office/drawing/2017/model3d" xmlns:an18="http://schemas.microsoft.com/office/drawing/2018/animation" xmlns:anam3d="http://schemas.microsoft.com/office/drawing/2018/animation/model3d" xmlns:iact="http://schemas.microsoft.com/office/powerpoint/2014/inkAction" xmlns:thm15="http://schemas.microsoft.com/office/thememl/2012/main" xmlns:wps="http://schemas.microsoft.com/office/word/2010/wordprocessingShape" xmlns:wpc="http://schemas.microsoft.com/office/word/2010/wordprocessingCanvas" xmlns:wpg="http://schemas.microsoft.com/office/word/2010/wordprocessingGroup" xmlns:w16se="http://schemas.microsoft.com/office/word/2015/wordml/symex" xmlns:w16cid="http://schemas.microsoft.com/office/word/2016/wordml/cid" xmlns:wetp="http://schemas.microsoft.com/office/webextensions/taskpanes/2010/11" xmlns:we="http://schemas.microsoft.com/office/webextensions/webextension/2010/11" xmlns:comp="http://schemas.openxmlformats.org/drawingml/2006/compatibility" xmlns:lc="http://schemas.openxmlformats.org/drawingml/2006/lockedCanvas" xmlns:dgm14="http://schemas.microsoft.com/office/drawing/2010/diagram" xmlns:a15="http://schemas.microsoft.com/office/drawing/2012/main" xmlns:pic14="http://schemas.microsoft.com/office/drawing/2010/picture" xmlns:c16ac="http://schemas.microsoft.com/office/drawing/2014/chart/ac" xmlns:a16="http://schemas.microsoft.com/office/drawing/2014/main" xmlns:a1611="http://schemas.microsoft.com/office/drawing/2016/11/main" xmlns:dgm1612="http://schemas.microsoft.com/office/drawing/2016/12/diagram" xmlns:a16svg="http://schemas.microsoft.com/office/drawing/2016/SVG/main" xmlns:adec="http://schemas.microsoft.com/office/drawing/2017/decorative" xmlns:a18hc="http://schemas.microsoft.com/office/drawing/2018/hyperlinkcolor" xmlns:wp15="http://schemas.microsoft.com/office/word/2012/wordprocessingDrawing">
  <w:body>
    <!-- Created by docx4j 11.4.11 (Apache licensed) using REFERENCE JAXB in Eclipse Adoptium Java 21.0.6 on Linux -->
    <w:p>
      <w:pPr>
        <w:pStyle w:val="TitleStyle"/>
      </w:pPr>
      <w:r>
        <w:t>Samorząd gminny.</w:t>
      </w:r>
    </w:p>
    <w:p>
      <w:pPr>
        <w:pStyle w:val="NormalStyle"/>
      </w:pPr>
      <w:r>
        <w:t>Dz.U.2025.1153 t.j. z dnia 2025.08.22</w:t>
      </w:r>
    </w:p>
    <w:p>
      <w:pPr>
        <w:pStyle w:val="NormalStyle"/>
      </w:pPr>
      <w:r>
        <w:t xml:space="preserve">Status: Akt obowiązujący </w:t>
      </w:r>
    </w:p>
    <w:p>
      <w:pPr>
        <w:pStyle w:val="NormalStyle"/>
      </w:pPr>
      <w:r>
        <w:t>Wersja od: 22 sierpnia 2025r.  do: 30 czerwca 2026r.</w:t>
      </w:r>
    </w:p>
    <w:p>
      <w:pPr>
        <w:pStyle w:val="BoldStyle"/>
      </w:pPr>
      <w:r>
        <w:t>tekst jednolity</w:t>
      </w:r>
    </w:p>
    <w:p>
      <w:pPr>
        <w:spacing w:after="0"/>
        <w:ind w:left="0"/>
        <w:jc w:val="left"/>
        <w:textAlignment w:val="auto"/>
      </w:pPr>
      <w:r>
        <w:br/>
      </w:r>
    </w:p>
    <w:p>
      <w:pPr>
        <w:spacing w:after="0"/>
        <w:ind w:left="0"/>
        <w:jc w:val="left"/>
        <w:textAlignment w:val="auto"/>
      </w:pPr>
    </w:p>
    <w:p>
      <w:pPr>
        <w:spacing w:after="0"/>
        <w:ind w:left="0"/>
        <w:jc w:val="left"/>
        <w:textAlignment w:val="auto"/>
      </w:pPr>
      <w:r>
        <w:rPr>
          <w:rFonts w:ascii="Times New Roman"/>
          <w:b/>
          <w:i w:val="false"/>
          <w:color w:val="000000"/>
          <w:sz w:val="24"/>
          <w:lang w:val="pl-PL"/>
        </w:rPr>
        <w:t>Wejście w życie:</w:t>
      </w:r>
    </w:p>
    <w:p>
      <w:pPr>
        <w:spacing w:after="150"/>
        <w:ind w:left="0"/>
        <w:jc w:val="left"/>
        <w:textAlignment w:val="auto"/>
      </w:pPr>
      <w:r>
        <w:rPr>
          <w:rFonts w:ascii="Times New Roman"/>
          <w:b w:val="false"/>
          <w:i w:val="false"/>
          <w:color w:val="000000"/>
          <w:sz w:val="24"/>
          <w:lang w:val="pl-PL"/>
        </w:rPr>
        <w:t>27 maja 1990 r.</w:t>
      </w:r>
      <w:r>
        <w:rPr>
          <w:rFonts w:ascii="Times New Roman"/>
          <w:b w:val="false"/>
          <w:i w:val="false"/>
          <w:color w:val="000000"/>
          <w:sz w:val="24"/>
          <w:lang w:val="pl-PL"/>
        </w:rPr>
        <w:t xml:space="preserve">, </w:t>
      </w:r>
      <w:r>
        <w:rPr>
          <w:rFonts w:ascii="Times New Roman"/>
          <w:b w:val="false"/>
          <w:i w:val="false"/>
          <w:color w:val="000000"/>
          <w:sz w:val="24"/>
          <w:lang w:val="pl-PL"/>
        </w:rPr>
        <w:t>19 marca 1990 r.</w:t>
      </w:r>
    </w:p>
    <w:p>
      <w:pPr>
        <w:spacing w:after="0"/>
        <w:ind w:left="0"/>
        <w:jc w:val="left"/>
        <w:textAlignment w:val="auto"/>
      </w:pPr>
      <w:r>
        <w:rPr>
          <w:rFonts w:ascii="Times New Roman"/>
          <w:b/>
          <w:i w:val="false"/>
          <w:color w:val="000000"/>
          <w:sz w:val="24"/>
          <w:lang w:val="pl-PL"/>
        </w:rPr>
        <w:t xml:space="preserve"> zobacz: </w:t>
      </w:r>
    </w:p>
    <w:p>
      <w:pPr>
        <w:numPr>
          <w:ilvl w:val="1"/>
          <w:numId w:val="1"/>
        </w:numPr>
        <w:spacing w:after="0"/>
        <w:ind w:left="0"/>
        <w:jc w:val="left"/>
        <w:textAlignment w:val="auto"/>
      </w:pPr>
      <w:r>
        <w:rPr>
          <w:rFonts w:ascii="Times New Roman"/>
          <w:b w:val="false"/>
          <w:i w:val="false"/>
          <w:color w:val="000000"/>
          <w:sz w:val="24"/>
          <w:lang w:val="pl-PL"/>
        </w:rPr>
        <w:t xml:space="preserve"> art. 103 </w:t>
      </w:r>
    </w:p>
    <w:p>
      <w:pPr>
        <w:numPr>
          <w:ilvl w:val="1"/>
          <w:numId w:val="1"/>
        </w:numPr>
        <w:spacing w:after="0"/>
        <w:ind w:left="0"/>
        <w:jc w:val="left"/>
        <w:textAlignment w:val="auto"/>
      </w:pPr>
      <w:r>
        <w:rPr>
          <w:rFonts w:ascii="Times New Roman"/>
          <w:b w:val="false"/>
          <w:i w:val="false"/>
          <w:color w:val="000000"/>
          <w:sz w:val="24"/>
          <w:lang w:val="pl-PL"/>
        </w:rPr>
        <w:t xml:space="preserve"> Dz.U.1990.32.191 </w:t>
      </w:r>
      <w:r>
        <w:rPr>
          <w:rFonts w:ascii="Times New Roman"/>
          <w:b w:val="false"/>
          <w:i w:val="false"/>
          <w:color w:val="000000"/>
          <w:sz w:val="24"/>
          <w:lang w:val="pl-PL"/>
        </w:rPr>
        <w:t xml:space="preserve">; </w:t>
      </w:r>
      <w:r>
        <w:rPr>
          <w:rFonts w:ascii="Times New Roman"/>
          <w:b w:val="false"/>
          <w:i w:val="false"/>
          <w:color w:val="000000"/>
          <w:sz w:val="24"/>
          <w:lang w:val="pl-PL"/>
        </w:rPr>
        <w:t xml:space="preserve"> art. 1 </w:t>
      </w:r>
    </w:p>
    <w:p>
      <w:pPr>
        <w:spacing w:after="0"/>
        <w:ind w:left="0"/>
        <w:jc w:val="left"/>
        <w:textAlignment w:val="auto"/>
      </w:pPr>
    </w:p>
    <w:p>
      <w:pPr>
        <w:spacing w:after="0"/>
        <w:ind w:left="0"/>
        <w:jc w:val="left"/>
        <w:textAlignment w:val="auto"/>
      </w:pPr>
      <w:r>
        <w:rPr>
          <w:rFonts w:ascii="Times New Roman"/>
          <w:b w:val="false"/>
          <w:i w:val="false"/>
          <w:color w:val="000000"/>
          <w:sz w:val="24"/>
          <w:lang w:val="pl-PL"/>
        </w:rPr>
        <w:t>Art. 103.</w:t>
      </w:r>
      <w:r>
        <w:rPr>
          <w:rFonts w:ascii="Times New Roman"/>
          <w:b w:val="false"/>
          <w:i w:val="false"/>
          <w:color w:val="000000"/>
          <w:sz w:val="24"/>
          <w:lang w:val="pl-PL"/>
        </w:rPr>
        <w:t xml:space="preserve"> [Wejście w życie ustawy]</w:t>
      </w:r>
    </w:p>
    <w:p>
      <w:pPr>
        <w:spacing w:before="25" w:after="0"/>
        <w:ind w:left="0"/>
        <w:jc w:val="left"/>
        <w:textAlignment w:val="auto"/>
      </w:pPr>
      <w:r>
        <w:rPr>
          <w:rFonts w:ascii="Times New Roman"/>
          <w:b w:val="false"/>
          <w:i w:val="false"/>
          <w:color w:val="000000"/>
          <w:sz w:val="24"/>
          <w:lang w:val="pl-PL"/>
        </w:rPr>
        <w:t xml:space="preserve">Ustawa wchodzi w życie w terminie </w:t>
      </w:r>
      <w:r>
        <w:rPr>
          <w:rFonts w:ascii="Times New Roman"/>
          <w:b w:val="false"/>
          <w:i w:val="false"/>
          <w:color w:val="000000"/>
          <w:sz w:val="24"/>
          <w:lang w:val="pl-PL"/>
        </w:rPr>
        <w:t>1</w:t>
      </w:r>
      <w:r>
        <w:rPr>
          <w:rFonts w:ascii="Times New Roman"/>
          <w:b w:val="false"/>
          <w:i w:val="false"/>
          <w:color w:val="000000"/>
          <w:sz w:val="24"/>
          <w:lang w:val="pl-PL"/>
        </w:rPr>
        <w:t xml:space="preserve"> i na zasadach określonych ustawą - Przepisy wprowadzające ustawę o samorządzie terytorialnym, z wyjątkiem art. 5 ust. 4 i art. 17, które wchodzą w życie z dniem ogłoszenia </w:t>
      </w:r>
      <w:r>
        <w:rPr>
          <w:rFonts w:ascii="Times New Roman"/>
          <w:b w:val="false"/>
          <w:i w:val="false"/>
          <w:color w:val="000000"/>
          <w:sz w:val="24"/>
          <w:lang w:val="pl-PL"/>
        </w:rPr>
        <w:t>2</w:t>
      </w:r>
      <w:r>
        <w:rPr>
          <w:rFonts w:ascii="Times New Roman"/>
          <w:b w:val="false"/>
          <w:i w:val="false"/>
          <w:color w:val="000000"/>
          <w:sz w:val="24"/>
          <w:lang w:val="pl-PL"/>
        </w:rPr>
        <w:t xml:space="preserve"> .</w:t>
      </w:r>
    </w:p>
    <w:p>
      <w:pPr>
        <w:numPr>
          <w:ilvl w:val="0"/>
          <w:numId w:val="1"/>
        </w:numPr>
        <w:spacing w:after="0"/>
        <w:ind w:left="0"/>
        <w:jc w:val="left"/>
        <w:textAlignment w:val="auto"/>
      </w:pPr>
    </w:p>
    <w:p>
      <w:pPr>
        <w:spacing w:after="0"/>
        <w:ind w:left="0"/>
        <w:jc w:val="left"/>
        <w:textAlignment w:val="auto"/>
      </w:pPr>
      <w:r>
        <w:br/>
      </w:r>
    </w:p>
    <w:p>
      <w:pPr>
        <w:spacing w:before="60" w:after="0"/>
        <w:ind w:left="0"/>
        <w:jc w:val="center"/>
        <w:textAlignment w:val="auto"/>
      </w:pPr>
      <w:r>
        <w:rPr>
          <w:rFonts w:ascii="Times New Roman"/>
          <w:b/>
          <w:i w:val="false"/>
          <w:color w:val="000000"/>
          <w:sz w:val="24"/>
          <w:lang w:val="pl-PL"/>
        </w:rPr>
        <w:t>USTAWA</w:t>
      </w:r>
    </w:p>
    <w:p>
      <w:pPr>
        <w:spacing w:before="80" w:after="0"/>
        <w:ind w:left="0"/>
        <w:jc w:val="center"/>
        <w:textAlignment w:val="auto"/>
      </w:pPr>
      <w:r>
        <w:rPr>
          <w:rFonts w:ascii="Times New Roman"/>
          <w:b/>
          <w:i w:val="false"/>
          <w:color w:val="000000"/>
          <w:sz w:val="24"/>
          <w:lang w:val="pl-PL"/>
        </w:rPr>
        <w:t>z dnia 8 marca 1990 r.</w:t>
      </w:r>
    </w:p>
    <w:p>
      <w:pPr>
        <w:spacing w:before="80" w:after="0"/>
        <w:ind w:left="0"/>
        <w:jc w:val="center"/>
        <w:textAlignment w:val="auto"/>
      </w:pPr>
      <w:r>
        <w:rPr>
          <w:rFonts w:ascii="Times New Roman"/>
          <w:b/>
          <w:i w:val="false"/>
          <w:color w:val="000000"/>
          <w:sz w:val="24"/>
          <w:lang w:val="pl-PL"/>
        </w:rPr>
        <w:t>o samorządzie gminnym</w:t>
      </w:r>
    </w:p>
    <w:p>
      <w:pPr>
        <w:spacing w:after="0"/>
        <w:ind w:left="0"/>
        <w:jc w:val="left"/>
        <w:textAlignment w:val="auto"/>
      </w:pPr>
    </w:p>
    <w:p>
      <w:pPr>
        <w:spacing w:before="89" w:after="0"/>
        <w:ind w:left="0"/>
        <w:jc w:val="center"/>
        <w:textAlignment w:val="auto"/>
      </w:pPr>
      <w:r>
        <w:rPr>
          <w:rFonts w:ascii="Times New Roman"/>
          <w:b/>
          <w:i w:val="false"/>
          <w:color w:val="000000"/>
          <w:sz w:val="24"/>
          <w:lang w:val="pl-PL"/>
        </w:rPr>
        <w:t>Rozdział  1</w:t>
      </w:r>
    </w:p>
    <w:p>
      <w:pPr>
        <w:spacing w:before="25" w:after="0"/>
        <w:ind w:left="0"/>
        <w:jc w:val="center"/>
        <w:textAlignment w:val="auto"/>
      </w:pPr>
      <w:r>
        <w:rPr>
          <w:rFonts w:ascii="Times New Roman"/>
          <w:b/>
          <w:i w:val="false"/>
          <w:color w:val="000000"/>
          <w:sz w:val="24"/>
          <w:lang w:val="pl-PL"/>
        </w:rPr>
        <w:t>Przepisy ogólne</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1.</w:t>
      </w:r>
      <w:r>
        <w:rPr>
          <w:rFonts w:ascii="Times New Roman"/>
          <w:b/>
          <w:i w:val="false"/>
          <w:color w:val="000000"/>
          <w:sz w:val="24"/>
          <w:lang w:val="pl-PL"/>
        </w:rPr>
        <w:t xml:space="preserve"> [Wspólnota samorządowa]</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Mieszkańcy gminy tworzą z mocy prawa wspólnotę samorządową.</w:t>
      </w: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Ilekroć w ustawie jest mowa o gminie, należy przez to rozumieć wspólnotę samorządową oraz odpowiednie terytorium.</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2.</w:t>
      </w:r>
      <w:r>
        <w:rPr>
          <w:rFonts w:ascii="Times New Roman"/>
          <w:b/>
          <w:i w:val="false"/>
          <w:color w:val="000000"/>
          <w:sz w:val="24"/>
          <w:lang w:val="pl-PL"/>
        </w:rPr>
        <w:t xml:space="preserve"> [Podmiotowość i samodzielność gminy]</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Gmina wykonuje zadania publiczne w imieniu własnym i na własną odpowiedzialność.</w:t>
      </w: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Gmina posiada osobowość prawną.</w:t>
      </w:r>
    </w:p>
    <w:p>
      <w:pPr>
        <w:spacing w:before="26" w:after="0"/>
        <w:ind w:left="0"/>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Samodzielność gminy podlega ochronie sądowej.</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3.</w:t>
      </w:r>
      <w:r>
        <w:rPr>
          <w:rFonts w:ascii="Times New Roman"/>
          <w:b/>
          <w:i w:val="false"/>
          <w:color w:val="000000"/>
          <w:sz w:val="24"/>
          <w:lang w:val="pl-PL"/>
        </w:rPr>
        <w:t xml:space="preserve"> [Statut gminy]</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O ustroju gminy stanowi jej statut.</w:t>
      </w: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Projekt statutu gminy powyżej 300 000 mieszkańców podlega uzgodnieniu z Prezesem Rady Ministrów na wniosek ministra właściwego do spraw administracji publicznej.</w:t>
      </w:r>
    </w:p>
    <w:p>
      <w:pPr>
        <w:spacing w:before="26" w:after="0"/>
        <w:ind w:left="0"/>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W sprawach spornych rozstrzyga Rada Ministrów.</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4.</w:t>
      </w:r>
      <w:r>
        <w:rPr>
          <w:rFonts w:ascii="Times New Roman"/>
          <w:b/>
          <w:i w:val="false"/>
          <w:color w:val="000000"/>
          <w:sz w:val="24"/>
          <w:lang w:val="pl-PL"/>
        </w:rPr>
        <w:t xml:space="preserve"> [Zmiany terytorialne gmin, nadawanie statusu miasta, ustalanie i zmiany nazw gmin]</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Rada Ministrów, w drodze rozporządzenia:</w:t>
      </w:r>
    </w:p>
    <w:p>
      <w:pPr>
        <w:spacing w:before="26" w:after="0"/>
        <w:ind w:left="373"/>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xml:space="preserve"> tworzy, łączy, dzieli i znosi gminy oraz ustala ich granice;</w:t>
      </w:r>
    </w:p>
    <w:p>
      <w:pPr>
        <w:spacing w:before="26" w:after="0"/>
        <w:ind w:left="373"/>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xml:space="preserve"> nadaje gminie lub miejscowości status miasta i ustala jego granice;</w:t>
      </w:r>
    </w:p>
    <w:p>
      <w:pPr>
        <w:spacing w:before="26" w:after="0"/>
        <w:ind w:left="373"/>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xml:space="preserve"> ustala i zmienia nazwy gmin oraz siedziby ich władz.</w:t>
      </w:r>
    </w:p>
    <w:p>
      <w:pPr>
        <w:spacing w:after="0"/>
        <w:ind w:left="0"/>
        <w:jc w:val="left"/>
        <w:textAlignment w:val="auto"/>
      </w:pP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Rozporządzenie, o którym mowa w ust. 1, może być wydane także na wniosek zainteresowanej rady gminy.</w:t>
      </w:r>
    </w:p>
    <w:p>
      <w:pPr>
        <w:spacing w:before="26" w:after="0"/>
        <w:ind w:left="0"/>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Ustalenie i zmiana granic gmin dokonywane są w sposób zapewniający gminie terytorium możliwie jednorodne ze względu na układ osadniczy i przestrzenny, uwzględniający więzi społeczne, gospodarcze i kulturowe oraz zapewniający zdolność wykonywania zadań publicznych.</w:t>
      </w:r>
    </w:p>
    <w:p>
      <w:pPr>
        <w:spacing w:before="26" w:after="0"/>
        <w:ind w:left="0"/>
        <w:jc w:val="left"/>
        <w:textAlignment w:val="auto"/>
      </w:pPr>
      <w:r>
        <w:rPr>
          <w:rFonts w:ascii="Times New Roman"/>
          <w:b w:val="false"/>
          <w:i w:val="false"/>
          <w:color w:val="000000"/>
          <w:sz w:val="24"/>
          <w:lang w:val="pl-PL"/>
        </w:rPr>
        <w:t>4.</w:t>
      </w:r>
      <w:r>
        <w:rPr>
          <w:rFonts w:ascii="Times New Roman"/>
          <w:b w:val="false"/>
          <w:i w:val="false"/>
          <w:color w:val="000000"/>
          <w:sz w:val="24"/>
          <w:lang w:val="pl-PL"/>
        </w:rPr>
        <w:t> Nadanie gminie lub miejscowości statusu miasta, ustalenie jego granic i ich zmiana dokonywane są w sposób uwzględniający infrastrukturę społeczną i techniczną oraz układ urbanistyczny i charakter zabudowy.</w:t>
      </w:r>
    </w:p>
    <w:p>
      <w:pPr>
        <w:spacing w:before="26" w:after="0"/>
        <w:ind w:left="0"/>
        <w:jc w:val="left"/>
        <w:textAlignment w:val="auto"/>
      </w:pPr>
      <w:r>
        <w:rPr>
          <w:rFonts w:ascii="Times New Roman"/>
          <w:b w:val="false"/>
          <w:i w:val="false"/>
          <w:color w:val="000000"/>
          <w:sz w:val="24"/>
          <w:lang w:val="pl-PL"/>
        </w:rPr>
        <w:t>5.</w:t>
      </w:r>
      <w:r>
        <w:rPr>
          <w:rFonts w:ascii="Times New Roman"/>
          <w:b w:val="false"/>
          <w:i w:val="false"/>
          <w:color w:val="000000"/>
          <w:sz w:val="24"/>
          <w:lang w:val="pl-PL"/>
        </w:rPr>
        <w:t> Zmiany, o których mowa w ust. 1, następują z dniem 1 stycznia.</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4a.</w:t>
      </w:r>
      <w:r>
        <w:rPr>
          <w:rFonts w:ascii="Times New Roman"/>
          <w:b/>
          <w:i w:val="false"/>
          <w:color w:val="000000"/>
          <w:sz w:val="24"/>
          <w:lang w:val="pl-PL"/>
        </w:rPr>
        <w:t xml:space="preserve"> [Konsultacje poprzedzające wydanie rozporządzenia]</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Wydanie rozporządzenia, o którym mowa w art. 4 ust. 1, wymaga zasięgnięcia przez ministra właściwego do spraw administracji publicznej opinii zainteresowanych rad gmin, poprzedzonych przeprowadzeniem przez te rady konsultacji z mieszkańcami, a w przypadku zmian granic gmin naruszających granice powiatów lub województw - dodatkowo opinii odpowiednich rad powiatów lub sejmików województw, z zastrzeżeniem ust. 2.</w:t>
      </w: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Konsultacje z mieszkańcami w sprawach zmiany granic gmin lub granic miasta polegającej na wyłączeniu obszaru lub części obszaru jednostki pomocniczej gminy i jego włączeniu do sąsiedniej jednostki pomocniczej tej gminy lub do sąsiedniej gminy mogą zostać ograniczone do:</w:t>
      </w:r>
    </w:p>
    <w:p>
      <w:pPr>
        <w:spacing w:before="26" w:after="0"/>
        <w:ind w:left="373"/>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xml:space="preserve"> mieszkańców jednostki pomocniczej gminy objętych zmianą - przez odpowiednie rady gmin;</w:t>
      </w:r>
    </w:p>
    <w:p>
      <w:pPr>
        <w:spacing w:before="26" w:after="0"/>
        <w:ind w:left="373"/>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xml:space="preserve"> mieszkańców gmin objętych zmianą naruszającą granice powiatów lub województw - przez odpowiednie rady powiatów lub sejmiki województw.</w:t>
      </w:r>
    </w:p>
    <w:p>
      <w:pPr>
        <w:spacing w:before="26" w:after="0"/>
        <w:ind w:left="0"/>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W przypadku niewyrażenia opinii, o której mowa w ust. 1, w terminie 3 miesięcy od dnia otrzymania wystąpienia o opinię, wymóg zasięgnięcia opinii uznaje się za spełniony.</w:t>
      </w:r>
    </w:p>
    <w:p>
      <w:pPr>
        <w:spacing w:before="26" w:after="0"/>
        <w:ind w:left="0"/>
        <w:jc w:val="left"/>
        <w:textAlignment w:val="auto"/>
      </w:pPr>
      <w:r>
        <w:rPr>
          <w:rFonts w:ascii="Times New Roman"/>
          <w:b w:val="false"/>
          <w:i w:val="false"/>
          <w:color w:val="000000"/>
          <w:sz w:val="24"/>
          <w:lang w:val="pl-PL"/>
        </w:rPr>
        <w:t>4.</w:t>
      </w:r>
      <w:r>
        <w:rPr>
          <w:rFonts w:ascii="Times New Roman"/>
          <w:b w:val="false"/>
          <w:i w:val="false"/>
          <w:color w:val="000000"/>
          <w:sz w:val="24"/>
          <w:lang w:val="pl-PL"/>
        </w:rPr>
        <w:t> W przypadku przeprowadzenia referendum lokalnego w sprawie utworzenia, połączenia, podziału i zniesienia gminy oraz ustalenia granic gminy, o którym mowa w art. 4c, konsultacji z mieszkańcami, o których mowa w ust. 1 i 2, nie przeprowadza się.</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4b.</w:t>
      </w:r>
      <w:r>
        <w:rPr>
          <w:rFonts w:ascii="Times New Roman"/>
          <w:b/>
          <w:i w:val="false"/>
          <w:color w:val="000000"/>
          <w:sz w:val="24"/>
          <w:lang w:val="pl-PL"/>
        </w:rPr>
        <w:t xml:space="preserve"> [Wniosek rady gminy o wydanie rozporządzenia]</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Wydanie rozporządzenia, o którym mowa w art. 4 ust. 1, na wniosek rady gminy wymaga:</w:t>
      </w:r>
    </w:p>
    <w:p>
      <w:pPr>
        <w:spacing w:before="26" w:after="0"/>
        <w:ind w:left="373"/>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xml:space="preserve"> wniosku rady gminy poprzedzonego przeprowadzeniem przez tę radę konsultacji z mieszkańcami, wraz z uzasadnieniem oraz niezbędnymi dokumentami, mapami i informacjami potwierdzającymi zasadność wniosku;</w:t>
      </w:r>
    </w:p>
    <w:p>
      <w:pPr>
        <w:spacing w:before="26" w:after="0"/>
        <w:ind w:left="373"/>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xml:space="preserve"> opinii rad gmin objętych wnioskiem, poprzedzonych przeprowadzeniem przez te rady konsultacji z mieszkańcami, a w przypadku zmiany granic gminy naruszającej granice powiatów lub województw - opinii odpowiednich rad powiatów lub sejmików województw;</w:t>
      </w:r>
    </w:p>
    <w:p>
      <w:pPr>
        <w:spacing w:before="26" w:after="0"/>
        <w:ind w:left="373"/>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xml:space="preserve"> opinii wojewody właściwego dla gminy lub gmin objętych wnioskiem.</w:t>
      </w:r>
    </w:p>
    <w:p>
      <w:pPr>
        <w:spacing w:after="0"/>
        <w:ind w:left="0"/>
        <w:jc w:val="left"/>
        <w:textAlignment w:val="auto"/>
      </w:pP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Do wniosku i opinii, o których mowa w ust. 1, przepisy art. 4a ust. 2 i 3 stosuje się odpowiednio.</w:t>
      </w:r>
    </w:p>
    <w:p>
      <w:pPr>
        <w:spacing w:before="26" w:after="0"/>
        <w:ind w:left="0"/>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Rada gminy występuje z wnioskiem, o którym mowa w ust. 1, do ministra właściwego do spraw administracji publicznej za pośrednictwem wojewody, w terminie do dnia 31 marca.</w:t>
      </w:r>
    </w:p>
    <w:p>
      <w:pPr>
        <w:spacing w:before="26" w:after="0"/>
        <w:ind w:left="0"/>
        <w:jc w:val="left"/>
        <w:textAlignment w:val="auto"/>
      </w:pPr>
      <w:r>
        <w:rPr>
          <w:rFonts w:ascii="Times New Roman"/>
          <w:b w:val="false"/>
          <w:i w:val="false"/>
          <w:color w:val="000000"/>
          <w:sz w:val="24"/>
          <w:lang w:val="pl-PL"/>
        </w:rPr>
        <w:t>4.</w:t>
      </w:r>
      <w:r>
        <w:rPr>
          <w:rFonts w:ascii="Times New Roman"/>
          <w:b w:val="false"/>
          <w:i w:val="false"/>
          <w:color w:val="000000"/>
          <w:sz w:val="24"/>
          <w:lang w:val="pl-PL"/>
        </w:rPr>
        <w:t> Rada Ministrów określi, w drodze rozporządzenia, tryb postępowania przy składaniu wniosków, o których mowa w ust. 1, oraz dokumenty, które należy dołączyć do wniosku.</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4c.</w:t>
      </w:r>
      <w:r>
        <w:rPr>
          <w:rFonts w:ascii="Times New Roman"/>
          <w:b/>
          <w:i w:val="false"/>
          <w:color w:val="000000"/>
          <w:sz w:val="24"/>
          <w:lang w:val="pl-PL"/>
        </w:rPr>
        <w:t xml:space="preserve"> [Referendum lokalne z inicjatywy mieszkańców]</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W sprawie utworzenia, połączenia, podziału i zniesienia gminy oraz ustalenia granic gminy może być przeprowadzone referendum lokalne z inicjatywy mieszkańców.</w:t>
      </w: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xml:space="preserve"> Z inicjatywą przeprowadzenia referendum, o którym mowa w ust. 1, wystąpić może jedynie grupa co najmniej 15 obywateli, o której mowa w </w:t>
      </w:r>
      <w:r>
        <w:rPr>
          <w:rFonts w:ascii="Times New Roman"/>
          <w:b w:val="false"/>
          <w:i w:val="false"/>
          <w:color w:val="1b1b1b"/>
          <w:sz w:val="24"/>
          <w:lang w:val="pl-PL"/>
        </w:rPr>
        <w:t>art. 11 ust. 1a</w:t>
      </w:r>
      <w:r>
        <w:rPr>
          <w:rFonts w:ascii="Times New Roman"/>
          <w:b w:val="false"/>
          <w:i w:val="false"/>
          <w:color w:val="000000"/>
          <w:sz w:val="24"/>
          <w:lang w:val="pl-PL"/>
        </w:rPr>
        <w:t xml:space="preserve"> ustawy z dnia 15 września 2000 r. o referendum lokalnym (Dz. U. z 2025 r. poz. 472).</w:t>
      </w:r>
    </w:p>
    <w:p>
      <w:pPr>
        <w:spacing w:before="26" w:after="0"/>
        <w:ind w:left="0"/>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Referendum, o którym mowa w ust. 1, nie przeprowadza się, jeżeli z analizy przeprowadzonej przed referendum wynika, iż na skutek podziału lub ustalenia nowych granic gminy:</w:t>
      </w:r>
    </w:p>
    <w:p>
      <w:pPr>
        <w:spacing w:before="26" w:after="0"/>
        <w:ind w:left="373"/>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xml:space="preserve"> dochody podatkowe na mieszkańca gminy w zmienionych granicach lub gminy utworzonej byłyby niższe od najniższych dochodów podatkowych na mieszkańca ustalonych dla poszczególnych gmin zgodnie z ustawą z dnia 1 października 2024 r. o dochodach jednostek samorządu terytorialnego (Dz. U. poz. 1572 i 1717);</w:t>
      </w:r>
    </w:p>
    <w:p>
      <w:pPr>
        <w:spacing w:before="26" w:after="0"/>
        <w:ind w:left="373"/>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xml:space="preserve"> gmina w zmienionych granicach lub gmina utworzona byłaby mniejsza od najmniejszej pod względem liczby mieszkańców gminy w Polsce według stanu na dzień 31 grudnia roku poprzedzającego ogłoszenie rozporządzenia, o którym mowa w art. 4.</w:t>
      </w:r>
    </w:p>
    <w:p>
      <w:pPr>
        <w:spacing w:before="26" w:after="0"/>
        <w:ind w:left="0"/>
        <w:jc w:val="left"/>
        <w:textAlignment w:val="auto"/>
      </w:pPr>
      <w:r>
        <w:rPr>
          <w:rFonts w:ascii="Times New Roman"/>
          <w:b w:val="false"/>
          <w:i w:val="false"/>
          <w:color w:val="000000"/>
          <w:sz w:val="24"/>
          <w:lang w:val="pl-PL"/>
        </w:rPr>
        <w:t>4.</w:t>
      </w:r>
      <w:r>
        <w:rPr>
          <w:rFonts w:ascii="Times New Roman"/>
          <w:b w:val="false"/>
          <w:i w:val="false"/>
          <w:color w:val="000000"/>
          <w:sz w:val="24"/>
          <w:lang w:val="pl-PL"/>
        </w:rPr>
        <w:t> Analizy, o której mowa w ust. 3, dokonuje właściwy wojewoda.</w:t>
      </w:r>
    </w:p>
    <w:p>
      <w:pPr>
        <w:spacing w:before="26" w:after="0"/>
        <w:ind w:left="0"/>
        <w:jc w:val="left"/>
        <w:textAlignment w:val="auto"/>
      </w:pPr>
      <w:r>
        <w:rPr>
          <w:rFonts w:ascii="Times New Roman"/>
          <w:b w:val="false"/>
          <w:i w:val="false"/>
          <w:color w:val="000000"/>
          <w:sz w:val="24"/>
          <w:lang w:val="pl-PL"/>
        </w:rPr>
        <w:t>5.</w:t>
      </w:r>
      <w:r>
        <w:rPr>
          <w:rFonts w:ascii="Times New Roman"/>
          <w:b w:val="false"/>
          <w:i w:val="false"/>
          <w:color w:val="000000"/>
          <w:sz w:val="24"/>
          <w:lang w:val="pl-PL"/>
        </w:rPr>
        <w:t xml:space="preserve"> W przypadku przeprowadzania z inicjatywy mieszkańców referendum, o którym mowa w ust. 1, pytanie zawarte we wniosku, o którym mowa w </w:t>
      </w:r>
      <w:r>
        <w:rPr>
          <w:rFonts w:ascii="Times New Roman"/>
          <w:b w:val="false"/>
          <w:i w:val="false"/>
          <w:color w:val="1b1b1b"/>
          <w:sz w:val="24"/>
          <w:lang w:val="pl-PL"/>
        </w:rPr>
        <w:t>art. 15 ust. 2</w:t>
      </w:r>
      <w:r>
        <w:rPr>
          <w:rFonts w:ascii="Times New Roman"/>
          <w:b w:val="false"/>
          <w:i w:val="false"/>
          <w:color w:val="000000"/>
          <w:sz w:val="24"/>
          <w:lang w:val="pl-PL"/>
        </w:rPr>
        <w:t xml:space="preserve"> ustawy z dnia 15 września 2000 r. o referendum lokalnym, powinno określać szczegółowo proponowane zmiany w podziale terytorialnym państwa.</w:t>
      </w:r>
    </w:p>
    <w:p>
      <w:pPr>
        <w:spacing w:before="26" w:after="0"/>
        <w:ind w:left="0"/>
        <w:jc w:val="left"/>
        <w:textAlignment w:val="auto"/>
      </w:pPr>
      <w:r>
        <w:rPr>
          <w:rFonts w:ascii="Times New Roman"/>
          <w:b w:val="false"/>
          <w:i w:val="false"/>
          <w:color w:val="000000"/>
          <w:sz w:val="24"/>
          <w:lang w:val="pl-PL"/>
        </w:rPr>
        <w:t>6.</w:t>
      </w:r>
      <w:r>
        <w:rPr>
          <w:rFonts w:ascii="Times New Roman"/>
          <w:b w:val="false"/>
          <w:i w:val="false"/>
          <w:color w:val="000000"/>
          <w:sz w:val="24"/>
          <w:lang w:val="pl-PL"/>
        </w:rPr>
        <w:t> Wojewoda przekazuje ministrowi właściwemu do spraw administracji publicznej informację o publikacji w wojewódzkim dzienniku urzędowym protokołu wyniku referendum, o którym mowa w ust. 1.</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4d.</w:t>
      </w:r>
      <w:r>
        <w:rPr>
          <w:rFonts w:ascii="Times New Roman"/>
          <w:b/>
          <w:i w:val="false"/>
          <w:color w:val="000000"/>
          <w:sz w:val="24"/>
          <w:lang w:val="pl-PL"/>
        </w:rPr>
        <w:t xml:space="preserve"> [Wyłączenie zmian terytorialnych gmin]</w:t>
      </w:r>
    </w:p>
    <w:p>
      <w:pPr>
        <w:spacing w:after="0"/>
        <w:ind w:left="0"/>
        <w:jc w:val="left"/>
        <w:textAlignment w:val="auto"/>
      </w:pPr>
      <w:r>
        <w:rPr>
          <w:rFonts w:ascii="Times New Roman"/>
          <w:b w:val="false"/>
          <w:i w:val="false"/>
          <w:color w:val="000000"/>
          <w:sz w:val="24"/>
          <w:lang w:val="pl-PL"/>
        </w:rPr>
        <w:t> Rada Ministrów nie przeprowadza zmian, o których mowa w art. 4 ust. 1 pkt 1, jeżeli:</w:t>
      </w:r>
    </w:p>
    <w:p>
      <w:pPr>
        <w:spacing w:before="26" w:after="0"/>
        <w:ind w:left="373"/>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xml:space="preserve"> dochody podatkowe na mieszkańca gminy w zmienionych granicach lub gminy utworzonej byłyby niższe od najniższych dochodów podatkowych na mieszkańca ustalonych dla poszczególnych gmin zgodnie z ustawą z dnia 1 października 2024 r. o dochodach jednostek samorządu terytorialnego;</w:t>
      </w:r>
    </w:p>
    <w:p>
      <w:pPr>
        <w:spacing w:before="26" w:after="0"/>
        <w:ind w:left="373"/>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xml:space="preserve"> gmina w zmienionych granicach lub gmina utworzona byłaby mniejsza od najmniejszej pod względem liczby mieszkańców gminy w Polsce według stanu na dzień 31 grudnia roku poprzedzającego ogłoszenie rozporządzenia, o którym mowa w art. 4.</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4e.</w:t>
      </w:r>
      <w:r>
        <w:rPr>
          <w:rFonts w:ascii="Times New Roman"/>
          <w:b/>
          <w:i w:val="false"/>
          <w:color w:val="000000"/>
          <w:sz w:val="24"/>
          <w:lang w:val="pl-PL"/>
        </w:rPr>
        <w:t xml:space="preserve"> [Pełnomocnik do spraw połączenia gmin lub utworzenia nowej gminy]</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W przypadku łączenia gmin lub tworzenia nowej gminy Prezes Rady Ministrów, na wniosek wojewody zgłoszony za pośrednictwem ministra właściwego do spraw administracji publicznej, wyznacza pełnomocnika do spraw połączenia gmin lub utworzenia nowej gminy spośród pracowników podległych wojewodzie albo pracowników urzędu gminy, której obszar wchodzi w skład łączonej lub nowo tworzonej gminy.</w:t>
      </w: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xml:space="preserve"> Do czasu połączenia gmin lub utworzenia nowej gminy zadaniem pełnomocnika, o którym mowa w ust. 1, jest przygotowanie organizacyjne i prawne gminy do wykonywania zadań publicznych, w tym przygotowanie projektu uchwały budżetowej gminy w trybie i na zasadach określonych w </w:t>
      </w:r>
      <w:r>
        <w:rPr>
          <w:rFonts w:ascii="Times New Roman"/>
          <w:b w:val="false"/>
          <w:i w:val="false"/>
          <w:color w:val="1b1b1b"/>
          <w:sz w:val="24"/>
          <w:lang w:val="pl-PL"/>
        </w:rPr>
        <w:t>przepisach</w:t>
      </w:r>
      <w:r>
        <w:rPr>
          <w:rFonts w:ascii="Times New Roman"/>
          <w:b w:val="false"/>
          <w:i w:val="false"/>
          <w:color w:val="000000"/>
          <w:sz w:val="24"/>
          <w:lang w:val="pl-PL"/>
        </w:rPr>
        <w:t xml:space="preserve"> o finansach publicznych.</w:t>
      </w:r>
    </w:p>
    <w:p>
      <w:pPr>
        <w:spacing w:before="26" w:after="0"/>
        <w:ind w:left="0"/>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xml:space="preserve"> Z dniem połączenia gmin lub utworzenia nowej gminy pełnomocnik, o którym mowa w ust. 1, przejmuje wykonywanie zadań i kompetencji ich organów do dnia wyboru nowych organów gminy, a w przypadku, o którym mowa w </w:t>
      </w:r>
      <w:r>
        <w:rPr>
          <w:rFonts w:ascii="Times New Roman"/>
          <w:b w:val="false"/>
          <w:i w:val="false"/>
          <w:color w:val="1b1b1b"/>
          <w:sz w:val="24"/>
          <w:lang w:val="pl-PL"/>
        </w:rPr>
        <w:t>art. 390a § 2</w:t>
      </w:r>
      <w:r>
        <w:rPr>
          <w:rFonts w:ascii="Times New Roman"/>
          <w:b w:val="false"/>
          <w:i w:val="false"/>
          <w:color w:val="000000"/>
          <w:sz w:val="24"/>
          <w:lang w:val="pl-PL"/>
        </w:rPr>
        <w:t xml:space="preserve"> ustawy z dnia 5 stycznia 2011 r. - Kodeks wyborczy (Dz. U. z 2025 r. poz. 365) - do dnia pierwszej sesji rady gminy zwołanej w trybie art. 20 ust. 2ba.</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4ea.</w:t>
      </w:r>
      <w:r>
        <w:rPr>
          <w:rFonts w:ascii="Times New Roman"/>
          <w:b/>
          <w:i w:val="false"/>
          <w:color w:val="000000"/>
          <w:sz w:val="24"/>
          <w:lang w:val="pl-PL"/>
        </w:rPr>
        <w:t xml:space="preserve"> [Następstwo prawne gminy powstałej w wyniku połączenia gmin]</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Gmina powstała w wyniku połączenia gmin wstępuje we wszystkie prawa i obowiązki połączonych gmin, w tym prawa i obowiązki wynikające z zezwoleń, koncesji oraz innych aktów administracyjnych.</w:t>
      </w: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Organy gminy powstałej w wyniku połączenia gmin stają się organami właściwymi lub stronami wszczętych i niezakończonych postępowań administracyjnych i sądowych.</w:t>
      </w:r>
    </w:p>
    <w:p>
      <w:pPr>
        <w:spacing w:before="26" w:after="0"/>
        <w:ind w:left="0"/>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Ujawnienie w księgach wieczystych lub w rejestrach przejścia na gminę, o której mowa w ust. 1, praw ujawnionych w tych księgach lub rejestrach następuje na wniosek gminy.</w:t>
      </w:r>
    </w:p>
    <w:p>
      <w:pPr>
        <w:spacing w:before="26" w:after="0"/>
        <w:ind w:left="0"/>
        <w:jc w:val="left"/>
        <w:textAlignment w:val="auto"/>
      </w:pPr>
      <w:r>
        <w:rPr>
          <w:rFonts w:ascii="Times New Roman"/>
          <w:b w:val="false"/>
          <w:i w:val="false"/>
          <w:color w:val="000000"/>
          <w:sz w:val="24"/>
          <w:lang w:val="pl-PL"/>
        </w:rPr>
        <w:t>4.</w:t>
      </w:r>
      <w:r>
        <w:rPr>
          <w:rFonts w:ascii="Times New Roman"/>
          <w:b w:val="false"/>
          <w:i w:val="false"/>
          <w:color w:val="000000"/>
          <w:sz w:val="24"/>
          <w:lang w:val="pl-PL"/>
        </w:rPr>
        <w:t> W przypadku gdy rozporządzenie w sprawie połączenia gmin zostało wydane na wniosek poparty przez wszystkie zainteresowane rady gmin, gminy te zawierają porozumienie, o którym mowa w art. 44 pkt 2.</w:t>
      </w:r>
    </w:p>
    <w:p>
      <w:pPr>
        <w:spacing w:before="26" w:after="0"/>
        <w:ind w:left="0"/>
        <w:jc w:val="left"/>
        <w:textAlignment w:val="auto"/>
      </w:pPr>
      <w:r>
        <w:rPr>
          <w:rFonts w:ascii="Times New Roman"/>
          <w:b w:val="false"/>
          <w:i w:val="false"/>
          <w:color w:val="000000"/>
          <w:sz w:val="24"/>
          <w:lang w:val="pl-PL"/>
        </w:rPr>
        <w:t>5.</w:t>
      </w:r>
      <w:r>
        <w:rPr>
          <w:rFonts w:ascii="Times New Roman"/>
          <w:b w:val="false"/>
          <w:i w:val="false"/>
          <w:color w:val="000000"/>
          <w:sz w:val="24"/>
          <w:lang w:val="pl-PL"/>
        </w:rPr>
        <w:t> Akty prawa miejscowego ustanowione przez organy gmin przed połączeniem gmin stają się aktami prawa miejscowego gminy powstałej w wyniku połączenia gmin, obowiązującymi na obszarze działania organów, które je ustanowiły, do dnia wejścia w życie nowych aktów prawa miejscowego ustanowionych przez organ gminy powstałej w wyniku połączenia gmin, jednak nie dłużej niż przez okres 3 lat od dnia połączenia.</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4eb.</w:t>
      </w:r>
      <w:r>
        <w:rPr>
          <w:rFonts w:ascii="Times New Roman"/>
          <w:b/>
          <w:i w:val="false"/>
          <w:color w:val="000000"/>
          <w:sz w:val="24"/>
          <w:lang w:val="pl-PL"/>
        </w:rPr>
        <w:t xml:space="preserve"> [Następstwo prawne w przypadku zmiany granic gmin]</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W przypadku zmiany granic gmin polegającej na wyłączeniu części obszaru gminy i jego włączeniu do sąsiedniej gminy, gmina, do której został włączony ten obszar, wstępuje we wszystkie prawa i obowiązki gminy na tym obszarze, w tym prawa i obowiązki wynikające z zezwoleń, koncesji oraz innych aktów administracyjnych.</w:t>
      </w: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Akty prawa miejscowego z zakresu planowania i zagospodarowania przestrzennego ustanowione przez organ gminy przed zmianą granic:</w:t>
      </w:r>
    </w:p>
    <w:p>
      <w:pPr>
        <w:spacing w:before="26" w:after="0"/>
        <w:ind w:left="373"/>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xml:space="preserve"> w części dotyczącej obszaru, który został wyłączony z tej gminy, stają się aktami prawa miejscowego gminy, do której ten obszar został włączony i obowiązują do dnia wejścia w życie nowych aktów prawa miejscowego ustanowionych przez organ tej gminy, jednak nie dłużej niż przez okres 3 lat od dnia zmiany granic gminy;</w:t>
      </w:r>
    </w:p>
    <w:p>
      <w:pPr>
        <w:spacing w:before="26" w:after="0"/>
        <w:ind w:left="373"/>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xml:space="preserve"> w części dotyczącej obszaru, który nie został wyłączony z tej gminy, pozostają w mocy.</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4f.</w:t>
      </w:r>
      <w:r>
        <w:rPr>
          <w:rFonts w:ascii="Times New Roman"/>
          <w:b/>
          <w:i w:val="false"/>
          <w:color w:val="000000"/>
          <w:sz w:val="24"/>
          <w:lang w:val="pl-PL"/>
        </w:rPr>
        <w:t xml:space="preserve"> [Osoba wykonująca zadania i kompetencje rady gminy]</w:t>
      </w:r>
    </w:p>
    <w:p>
      <w:pPr>
        <w:spacing w:after="0"/>
        <w:ind w:left="0"/>
        <w:jc w:val="left"/>
        <w:textAlignment w:val="auto"/>
      </w:pPr>
      <w:r>
        <w:rPr>
          <w:rFonts w:ascii="Times New Roman"/>
          <w:b w:val="false"/>
          <w:i w:val="false"/>
          <w:color w:val="000000"/>
          <w:sz w:val="24"/>
          <w:lang w:val="pl-PL"/>
        </w:rPr>
        <w:t xml:space="preserve"> Jeżeli w wyniku zmian w podziale terytorialnym państwa rada gminy została z mocy prawa rozwiązana na podstawie </w:t>
      </w:r>
      <w:r>
        <w:rPr>
          <w:rFonts w:ascii="Times New Roman"/>
          <w:b w:val="false"/>
          <w:i w:val="false"/>
          <w:color w:val="1b1b1b"/>
          <w:sz w:val="24"/>
          <w:lang w:val="pl-PL"/>
        </w:rPr>
        <w:t>art. 390 § 5</w:t>
      </w:r>
      <w:r>
        <w:rPr>
          <w:rFonts w:ascii="Times New Roman"/>
          <w:b w:val="false"/>
          <w:i w:val="false"/>
          <w:color w:val="000000"/>
          <w:sz w:val="24"/>
          <w:lang w:val="pl-PL"/>
        </w:rPr>
        <w:t xml:space="preserve"> ustawy z dnia 5 stycznia 2011 r. - Kodeks wyborczy, Prezes Rady Ministrów na wniosek wojewody zgłoszony za pośrednictwem ministra właściwego do spraw administracji publicznej wyznacza osobę, która wykonuje zadania i kompetencje rady gminy do czasu wyboru nowej rady.</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5.</w:t>
      </w:r>
      <w:r>
        <w:rPr>
          <w:rFonts w:ascii="Times New Roman"/>
          <w:b/>
          <w:i w:val="false"/>
          <w:color w:val="000000"/>
          <w:sz w:val="24"/>
          <w:lang w:val="pl-PL"/>
        </w:rPr>
        <w:t xml:space="preserve"> [Jednostki pomocnicze gminy]</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Gmina może tworzyć jednostki pomocnicze: sołectwa oraz dzielnice, osiedla i inne. Jednostką pomocniczą może być również położone na terenie gminy miasto.</w:t>
      </w: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Jednostkę pomocniczą tworzy rada gminy, w drodze uchwały, po przeprowadzeniu konsultacji z mieszkańcami lub z ich inicjatywy.</w:t>
      </w:r>
    </w:p>
    <w:p>
      <w:pPr>
        <w:spacing w:before="26" w:after="0"/>
        <w:ind w:left="0"/>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Zasady tworzenia, łączenia, podziału oraz znoszenia jednostki pomocniczej określa statut gminy.</w:t>
      </w:r>
    </w:p>
    <w:p>
      <w:pPr>
        <w:spacing w:before="26" w:after="0"/>
        <w:ind w:left="0"/>
        <w:jc w:val="left"/>
        <w:textAlignment w:val="auto"/>
      </w:pPr>
      <w:r>
        <w:rPr>
          <w:rFonts w:ascii="Times New Roman"/>
          <w:b w:val="false"/>
          <w:i w:val="false"/>
          <w:color w:val="000000"/>
          <w:sz w:val="24"/>
          <w:lang w:val="pl-PL"/>
        </w:rPr>
        <w:t>4.</w:t>
      </w:r>
      <w:r>
        <w:rPr>
          <w:rFonts w:ascii="Times New Roman"/>
          <w:b w:val="false"/>
          <w:i w:val="false"/>
          <w:color w:val="000000"/>
          <w:sz w:val="24"/>
          <w:lang w:val="pl-PL"/>
        </w:rPr>
        <w:t> (uchylony).</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5a.</w:t>
      </w:r>
      <w:r>
        <w:rPr>
          <w:rFonts w:ascii="Times New Roman"/>
          <w:b/>
          <w:i w:val="false"/>
          <w:color w:val="000000"/>
          <w:sz w:val="24"/>
          <w:lang w:val="pl-PL"/>
        </w:rPr>
        <w:t xml:space="preserve"> [Konsultacje z mieszkańcami; budżet obywatelski]</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xml:space="preserve"> W wypadkach przewidzianych </w:t>
      </w:r>
      <w:r>
        <w:rPr>
          <w:rFonts w:ascii="Times New Roman"/>
          <w:b w:val="false"/>
          <w:i w:val="false"/>
          <w:color w:val="1b1b1b"/>
          <w:sz w:val="24"/>
          <w:lang w:val="pl-PL"/>
        </w:rPr>
        <w:t>ustawą</w:t>
      </w:r>
      <w:r>
        <w:rPr>
          <w:rFonts w:ascii="Times New Roman"/>
          <w:b w:val="false"/>
          <w:i w:val="false"/>
          <w:color w:val="000000"/>
          <w:sz w:val="24"/>
          <w:lang w:val="pl-PL"/>
        </w:rPr>
        <w:t xml:space="preserve"> oraz w innych sprawach ważnych dla gminy mogą być przeprowadzane na jej terytorium konsultacje z mieszkańcami gminy.</w:t>
      </w: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Zasady i tryb przeprowadzania konsultacji z mieszkańcami gminy określa uchwała rady gminy, z zastrzeżeniem ust. 7.</w:t>
      </w:r>
    </w:p>
    <w:p>
      <w:pPr>
        <w:spacing w:before="26" w:after="0"/>
        <w:ind w:left="0"/>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Szczególną formą konsultacji społecznych jest budżet obywatelski.</w:t>
      </w:r>
    </w:p>
    <w:p>
      <w:pPr>
        <w:spacing w:before="26" w:after="0"/>
        <w:ind w:left="0"/>
        <w:jc w:val="left"/>
        <w:textAlignment w:val="auto"/>
      </w:pPr>
      <w:r>
        <w:rPr>
          <w:rFonts w:ascii="Times New Roman"/>
          <w:b w:val="false"/>
          <w:i w:val="false"/>
          <w:color w:val="000000"/>
          <w:sz w:val="24"/>
          <w:lang w:val="pl-PL"/>
        </w:rPr>
        <w:t>4.</w:t>
      </w:r>
      <w:r>
        <w:rPr>
          <w:rFonts w:ascii="Times New Roman"/>
          <w:b w:val="false"/>
          <w:i w:val="false"/>
          <w:color w:val="000000"/>
          <w:sz w:val="24"/>
          <w:lang w:val="pl-PL"/>
        </w:rPr>
        <w:t> W ramach budżetu obywatelskiego mieszkańcy w bezpośrednim głosowaniu decydują corocznie o części wydatków budżetu gminy. Zadania wybrane w ramach budżetu obywatelskiego zostają uwzględnione w uchwale budżetowej gminy. Rada gminy w toku prac nad projektem uchwały budżetowej nie może usuwać lub zmieniać w stopniu istotnym zadań wybranych w ramach budżetu obywatelskiego.</w:t>
      </w:r>
    </w:p>
    <w:p>
      <w:pPr>
        <w:spacing w:before="26" w:after="0"/>
        <w:ind w:left="0"/>
        <w:jc w:val="left"/>
        <w:textAlignment w:val="auto"/>
      </w:pPr>
      <w:r>
        <w:rPr>
          <w:rFonts w:ascii="Times New Roman"/>
          <w:b w:val="false"/>
          <w:i w:val="false"/>
          <w:color w:val="000000"/>
          <w:sz w:val="24"/>
          <w:lang w:val="pl-PL"/>
        </w:rPr>
        <w:t>5.</w:t>
      </w:r>
      <w:r>
        <w:rPr>
          <w:rFonts w:ascii="Times New Roman"/>
          <w:b w:val="false"/>
          <w:i w:val="false"/>
          <w:color w:val="000000"/>
          <w:sz w:val="24"/>
          <w:lang w:val="pl-PL"/>
        </w:rPr>
        <w:t> W gminach będących miastami na prawach powiatu utworzenie budżetu obywatelskiego jest obowiązkowe, z tym że wysokość budżetu obywatelskiego wynosi co najmniej 0,5% wydatków gminy zawartych w ostatnim przedłożonym sprawozdaniu z wykonania budżetu.</w:t>
      </w:r>
    </w:p>
    <w:p>
      <w:pPr>
        <w:spacing w:before="26" w:after="0"/>
        <w:ind w:left="0"/>
        <w:jc w:val="left"/>
        <w:textAlignment w:val="auto"/>
      </w:pPr>
      <w:r>
        <w:rPr>
          <w:rFonts w:ascii="Times New Roman"/>
          <w:b w:val="false"/>
          <w:i w:val="false"/>
          <w:color w:val="000000"/>
          <w:sz w:val="24"/>
          <w:lang w:val="pl-PL"/>
        </w:rPr>
        <w:t>6.</w:t>
      </w:r>
      <w:r>
        <w:rPr>
          <w:rFonts w:ascii="Times New Roman"/>
          <w:b w:val="false"/>
          <w:i w:val="false"/>
          <w:color w:val="000000"/>
          <w:sz w:val="24"/>
          <w:lang w:val="pl-PL"/>
        </w:rPr>
        <w:t> Środki wydatkowane w ramach budżetu obywatelskiego mogą być dzielone na pule obejmujące całość gminy i jej części lub kategorie kwotowe projektów dotyczące całości obszaru gminy lub jej części.</w:t>
      </w:r>
    </w:p>
    <w:p>
      <w:pPr>
        <w:spacing w:before="26" w:after="0"/>
        <w:ind w:left="0"/>
        <w:jc w:val="left"/>
        <w:textAlignment w:val="auto"/>
      </w:pPr>
      <w:r>
        <w:rPr>
          <w:rFonts w:ascii="Times New Roman"/>
          <w:b w:val="false"/>
          <w:i w:val="false"/>
          <w:color w:val="000000"/>
          <w:sz w:val="24"/>
          <w:lang w:val="pl-PL"/>
        </w:rPr>
        <w:t>7.</w:t>
      </w:r>
      <w:r>
        <w:rPr>
          <w:rFonts w:ascii="Times New Roman"/>
          <w:b w:val="false"/>
          <w:i w:val="false"/>
          <w:color w:val="000000"/>
          <w:sz w:val="24"/>
          <w:lang w:val="pl-PL"/>
        </w:rPr>
        <w:t> Rada gminy określa w drodze uchwały wymagania, jakie powinien spełniać projekt budżetu obywatelskiego, w szczególności:</w:t>
      </w:r>
    </w:p>
    <w:p>
      <w:pPr>
        <w:spacing w:before="26" w:after="0"/>
        <w:ind w:left="373"/>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xml:space="preserve"> wymogi formalne, jakim powinny odpowiadać zgłaszane projekty z uwzględnieniem - o ile jest to możliwe - uniwersalnego projektowania, o którym mowa w </w:t>
      </w:r>
      <w:r>
        <w:rPr>
          <w:rFonts w:ascii="Times New Roman"/>
          <w:b w:val="false"/>
          <w:i w:val="false"/>
          <w:color w:val="1b1b1b"/>
          <w:sz w:val="24"/>
          <w:lang w:val="pl-PL"/>
        </w:rPr>
        <w:t>art. 2 pkt 4</w:t>
      </w:r>
      <w:r>
        <w:rPr>
          <w:rFonts w:ascii="Times New Roman"/>
          <w:b w:val="false"/>
          <w:i w:val="false"/>
          <w:color w:val="000000"/>
          <w:sz w:val="24"/>
          <w:lang w:val="pl-PL"/>
        </w:rPr>
        <w:t xml:space="preserve"> ustawy z dnia 19 lipca 2019 r. o zapewnianiu dostępności osobom ze szczególnymi potrzebami (Dz. U. z 2024 r. poz. 1411);</w:t>
      </w:r>
    </w:p>
    <w:p>
      <w:pPr>
        <w:spacing w:before="26" w:after="0"/>
        <w:ind w:left="373"/>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xml:space="preserve"> wymaganą liczbę podpisów mieszkańców popierających projekt, przy czym nie może być ona większa niż 0,1% mieszkańców terenu objętego pulą budżetu obywatelskiego, w którym zgłaszany jest projekt;</w:t>
      </w:r>
    </w:p>
    <w:p>
      <w:pPr>
        <w:spacing w:before="26" w:after="0"/>
        <w:ind w:left="373"/>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xml:space="preserve"> zasady oceny zgłoszonych projektów co do ich zgodności z prawem, wykonalności technicznej, spełniania przez nie wymogów formalnych oraz tryb odwołania od decyzji o niedopuszczeniu projektu do głosowania;</w:t>
      </w:r>
    </w:p>
    <w:p>
      <w:pPr>
        <w:spacing w:before="26" w:after="0"/>
        <w:ind w:left="373"/>
        <w:jc w:val="left"/>
        <w:textAlignment w:val="auto"/>
      </w:pPr>
      <w:r>
        <w:rPr>
          <w:rFonts w:ascii="Times New Roman"/>
          <w:b w:val="false"/>
          <w:i w:val="false"/>
          <w:color w:val="000000"/>
          <w:sz w:val="24"/>
          <w:lang w:val="pl-PL"/>
        </w:rPr>
        <w:t>4)</w:t>
      </w:r>
      <w:r>
        <w:rPr>
          <w:rFonts w:ascii="Times New Roman"/>
          <w:b w:val="false"/>
          <w:i w:val="false"/>
          <w:color w:val="000000"/>
          <w:sz w:val="24"/>
          <w:lang w:val="pl-PL"/>
        </w:rPr>
        <w:t xml:space="preserve"> zasady przeprowadzania głosowania, ustalania wyników i podawania ich do publicznej wiadomości, biorąc pod uwagę, że zasady przeprowadzania głosowania muszą zapewniać równość i bezpośredniość głosowania.</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5b.</w:t>
      </w:r>
      <w:r>
        <w:rPr>
          <w:rFonts w:ascii="Times New Roman"/>
          <w:b/>
          <w:i w:val="false"/>
          <w:color w:val="000000"/>
          <w:sz w:val="24"/>
          <w:lang w:val="pl-PL"/>
        </w:rPr>
        <w:t xml:space="preserve"> [Wspieranie i upowszechnianie idei samorządowej; młodzieżowa rada gminy]</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Gmina podejmuje działania na rzecz wspierania i upowszechniania idei samorządowej wśród mieszkańców gminy, w szczególności wśród młodzieży, angażując ją w sprawy dla niej istotne.</w:t>
      </w: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Rada gminy może wyrazić zgodę na utworzenie młodzieżowej rady gminy z własnej inicjatywy lub na wniosek:</w:t>
      </w:r>
    </w:p>
    <w:p>
      <w:pPr>
        <w:spacing w:before="26" w:after="0"/>
        <w:ind w:left="373"/>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xml:space="preserve"> wójta;</w:t>
      </w:r>
    </w:p>
    <w:p>
      <w:pPr>
        <w:spacing w:before="26" w:after="0"/>
        <w:ind w:left="373"/>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xml:space="preserve"> podmiotów reprezentujących zainteresowane środowiska, w szczególności:</w:t>
      </w:r>
    </w:p>
    <w:p>
      <w:pPr>
        <w:spacing w:after="0"/>
        <w:ind w:left="746"/>
        <w:jc w:val="left"/>
        <w:textAlignment w:val="auto"/>
      </w:pPr>
      <w:r>
        <w:rPr>
          <w:rFonts w:ascii="Times New Roman"/>
          <w:b w:val="false"/>
          <w:i w:val="false"/>
          <w:color w:val="000000"/>
          <w:sz w:val="24"/>
          <w:lang w:val="pl-PL"/>
        </w:rPr>
        <w:t>a)</w:t>
      </w:r>
      <w:r>
        <w:rPr>
          <w:rFonts w:ascii="Times New Roman"/>
          <w:b w:val="false"/>
          <w:i w:val="false"/>
          <w:color w:val="000000"/>
          <w:sz w:val="24"/>
          <w:lang w:val="pl-PL"/>
        </w:rPr>
        <w:t xml:space="preserve"> organizacji pozarządowych lub podmiotów określonych w </w:t>
      </w:r>
      <w:r>
        <w:rPr>
          <w:rFonts w:ascii="Times New Roman"/>
          <w:b w:val="false"/>
          <w:i w:val="false"/>
          <w:color w:val="1b1b1b"/>
          <w:sz w:val="24"/>
          <w:lang w:val="pl-PL"/>
        </w:rPr>
        <w:t>art. 3 ust. 3</w:t>
      </w:r>
      <w:r>
        <w:rPr>
          <w:rFonts w:ascii="Times New Roman"/>
          <w:b w:val="false"/>
          <w:i w:val="false"/>
          <w:color w:val="000000"/>
          <w:sz w:val="24"/>
          <w:lang w:val="pl-PL"/>
        </w:rPr>
        <w:t xml:space="preserve"> ustawy z dnia 24 kwietnia 2003 r. o działalności pożytku publicznego i o wolontariacie (Dz. U. z 2024 r. poz. 1491, 1761 i 1940), działających na terenie danej gminy,</w:t>
      </w:r>
    </w:p>
    <w:p>
      <w:pPr>
        <w:spacing w:after="0"/>
        <w:ind w:left="746"/>
        <w:jc w:val="left"/>
        <w:textAlignment w:val="auto"/>
      </w:pPr>
      <w:r>
        <w:rPr>
          <w:rFonts w:ascii="Times New Roman"/>
          <w:b w:val="false"/>
          <w:i w:val="false"/>
          <w:color w:val="000000"/>
          <w:sz w:val="24"/>
          <w:lang w:val="pl-PL"/>
        </w:rPr>
        <w:t>b)</w:t>
      </w:r>
      <w:r>
        <w:rPr>
          <w:rFonts w:ascii="Times New Roman"/>
          <w:b w:val="false"/>
          <w:i w:val="false"/>
          <w:color w:val="000000"/>
          <w:sz w:val="24"/>
          <w:lang w:val="pl-PL"/>
        </w:rPr>
        <w:t xml:space="preserve"> samorządu uczniowskiego lub samorządu studenckiego z terenu danej gminy.</w:t>
      </w:r>
    </w:p>
    <w:p>
      <w:pPr>
        <w:spacing w:before="26" w:after="0"/>
        <w:ind w:left="0"/>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Wniosek, o którym mowa w ust. 2, jest rozpatrywany przez radę gminy w terminie nie dłuższym niż 3 miesiące od dnia jego złożenia.</w:t>
      </w:r>
    </w:p>
    <w:p>
      <w:pPr>
        <w:spacing w:before="26" w:after="0"/>
        <w:ind w:left="0"/>
        <w:jc w:val="left"/>
        <w:textAlignment w:val="auto"/>
      </w:pPr>
      <w:r>
        <w:rPr>
          <w:rFonts w:ascii="Times New Roman"/>
          <w:b w:val="false"/>
          <w:i w:val="false"/>
          <w:color w:val="000000"/>
          <w:sz w:val="24"/>
          <w:lang w:val="pl-PL"/>
        </w:rPr>
        <w:t>4.</w:t>
      </w:r>
      <w:r>
        <w:rPr>
          <w:rFonts w:ascii="Times New Roman"/>
          <w:b w:val="false"/>
          <w:i w:val="false"/>
          <w:color w:val="000000"/>
          <w:sz w:val="24"/>
          <w:lang w:val="pl-PL"/>
        </w:rPr>
        <w:t> W przypadku odrzucenia wniosku złożonego przez podmiot, o którym mowa w ust. 2 pkt 2, kolejny wniosek może być złożony przez ten sam podmiot nie wcześniej niż po upływie 6 miesięcy od dnia odrzucenia poprzedniego wniosku.</w:t>
      </w:r>
    </w:p>
    <w:p>
      <w:pPr>
        <w:spacing w:before="26" w:after="0"/>
        <w:ind w:left="0"/>
        <w:jc w:val="left"/>
        <w:textAlignment w:val="auto"/>
      </w:pPr>
      <w:r>
        <w:rPr>
          <w:rFonts w:ascii="Times New Roman"/>
          <w:b w:val="false"/>
          <w:i w:val="false"/>
          <w:color w:val="000000"/>
          <w:sz w:val="24"/>
          <w:lang w:val="pl-PL"/>
        </w:rPr>
        <w:t>5.</w:t>
      </w:r>
      <w:r>
        <w:rPr>
          <w:rFonts w:ascii="Times New Roman"/>
          <w:b w:val="false"/>
          <w:i w:val="false"/>
          <w:color w:val="000000"/>
          <w:sz w:val="24"/>
          <w:lang w:val="pl-PL"/>
        </w:rPr>
        <w:t> Młodzieżowa rada gminy ma charakter konsultacyjny, doradczy i inicjatywny.</w:t>
      </w:r>
    </w:p>
    <w:p>
      <w:pPr>
        <w:spacing w:before="26" w:after="0"/>
        <w:ind w:left="0"/>
        <w:jc w:val="left"/>
        <w:textAlignment w:val="auto"/>
      </w:pPr>
      <w:r>
        <w:rPr>
          <w:rFonts w:ascii="Times New Roman"/>
          <w:b w:val="false"/>
          <w:i w:val="false"/>
          <w:color w:val="000000"/>
          <w:sz w:val="24"/>
          <w:lang w:val="pl-PL"/>
        </w:rPr>
        <w:t>6.</w:t>
      </w:r>
      <w:r>
        <w:rPr>
          <w:rFonts w:ascii="Times New Roman"/>
          <w:b w:val="false"/>
          <w:i w:val="false"/>
          <w:color w:val="000000"/>
          <w:sz w:val="24"/>
          <w:lang w:val="pl-PL"/>
        </w:rPr>
        <w:t> Młodzieżowa rada gminy może zgłosić do uprawnionych podmiotów wniosek o podjęcie inicjatywy uchwałodawczej. Tryb zgłaszania wniosku o podjęcie inicjatywy uchwałodawczej określa statut gminy lub odrębna uchwała rady gminy.</w:t>
      </w:r>
    </w:p>
    <w:p>
      <w:pPr>
        <w:spacing w:before="26" w:after="0"/>
        <w:ind w:left="0"/>
        <w:jc w:val="left"/>
        <w:textAlignment w:val="auto"/>
      </w:pPr>
      <w:r>
        <w:rPr>
          <w:rFonts w:ascii="Times New Roman"/>
          <w:b w:val="false"/>
          <w:i w:val="false"/>
          <w:color w:val="000000"/>
          <w:sz w:val="24"/>
          <w:lang w:val="pl-PL"/>
        </w:rPr>
        <w:t>7.</w:t>
      </w:r>
      <w:r>
        <w:rPr>
          <w:rFonts w:ascii="Times New Roman"/>
          <w:b w:val="false"/>
          <w:i w:val="false"/>
          <w:color w:val="000000"/>
          <w:sz w:val="24"/>
          <w:lang w:val="pl-PL"/>
        </w:rPr>
        <w:t> W sprawach dotyczących gminy młodzieżowa rada gminy może kierować zapytania lub wnioski w formie uchwały. Uchwała powinna zawierać krótkie przedstawienie stanu faktycznego będącego jej przedmiotem oraz wynikające z niej pytania. Wójt lub osoba przez niego wyznaczona są obowiązani udzielić odpowiedzi na piśmie, nie później niż w terminie 30 dni od dnia otrzymania uchwały.</w:t>
      </w:r>
    </w:p>
    <w:p>
      <w:pPr>
        <w:spacing w:before="26" w:after="0"/>
        <w:ind w:left="0"/>
        <w:jc w:val="left"/>
        <w:textAlignment w:val="auto"/>
      </w:pPr>
      <w:r>
        <w:rPr>
          <w:rFonts w:ascii="Times New Roman"/>
          <w:b w:val="false"/>
          <w:i w:val="false"/>
          <w:color w:val="000000"/>
          <w:sz w:val="24"/>
          <w:lang w:val="pl-PL"/>
        </w:rPr>
        <w:t>8.</w:t>
      </w:r>
      <w:r>
        <w:rPr>
          <w:rFonts w:ascii="Times New Roman"/>
          <w:b w:val="false"/>
          <w:i w:val="false"/>
          <w:color w:val="000000"/>
          <w:sz w:val="24"/>
          <w:lang w:val="pl-PL"/>
        </w:rPr>
        <w:t> Do zadań młodzieżowej rady gminy należy w szczególności:</w:t>
      </w:r>
    </w:p>
    <w:p>
      <w:pPr>
        <w:spacing w:before="26" w:after="0"/>
        <w:ind w:left="373"/>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xml:space="preserve"> opiniowanie projektów uchwał dotyczących młodzieży;</w:t>
      </w:r>
    </w:p>
    <w:p>
      <w:pPr>
        <w:spacing w:before="26" w:after="0"/>
        <w:ind w:left="373"/>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xml:space="preserve"> udział w opracowaniu dokumentów strategicznych gminy na rzecz młodzieży;</w:t>
      </w:r>
    </w:p>
    <w:p>
      <w:pPr>
        <w:spacing w:before="26" w:after="0"/>
        <w:ind w:left="373"/>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xml:space="preserve"> monitorowanie realizacji dokumentów strategicznych gminy na rzecz młodzieży;</w:t>
      </w:r>
    </w:p>
    <w:p>
      <w:pPr>
        <w:spacing w:before="26" w:after="0"/>
        <w:ind w:left="373"/>
        <w:jc w:val="left"/>
        <w:textAlignment w:val="auto"/>
      </w:pPr>
      <w:r>
        <w:rPr>
          <w:rFonts w:ascii="Times New Roman"/>
          <w:b w:val="false"/>
          <w:i w:val="false"/>
          <w:color w:val="000000"/>
          <w:sz w:val="24"/>
          <w:lang w:val="pl-PL"/>
        </w:rPr>
        <w:t>4)</w:t>
      </w:r>
      <w:r>
        <w:rPr>
          <w:rFonts w:ascii="Times New Roman"/>
          <w:b w:val="false"/>
          <w:i w:val="false"/>
          <w:color w:val="000000"/>
          <w:sz w:val="24"/>
          <w:lang w:val="pl-PL"/>
        </w:rPr>
        <w:t xml:space="preserve"> podejmowanie działań na rzecz młodzieży, w szczególności w zakresie edukacji obywatelskiej, na zasadach określonych przez radę gminy.</w:t>
      </w:r>
    </w:p>
    <w:p>
      <w:pPr>
        <w:spacing w:before="26" w:after="0"/>
        <w:ind w:left="0"/>
        <w:jc w:val="left"/>
        <w:textAlignment w:val="auto"/>
      </w:pPr>
      <w:r>
        <w:rPr>
          <w:rFonts w:ascii="Times New Roman"/>
          <w:b w:val="false"/>
          <w:i w:val="false"/>
          <w:color w:val="000000"/>
          <w:sz w:val="24"/>
          <w:lang w:val="pl-PL"/>
        </w:rPr>
        <w:t>9.</w:t>
      </w:r>
      <w:r>
        <w:rPr>
          <w:rFonts w:ascii="Times New Roman"/>
          <w:b w:val="false"/>
          <w:i w:val="false"/>
          <w:color w:val="000000"/>
          <w:sz w:val="24"/>
          <w:lang w:val="pl-PL"/>
        </w:rPr>
        <w:t> Młodzieżowa rada gminy może współuczestniczyć w działaniach związanych z tworzeniem i realizacją rządowych dokumentów strategicznych dotyczących polityki młodzieżowej.</w:t>
      </w:r>
    </w:p>
    <w:p>
      <w:pPr>
        <w:spacing w:before="26" w:after="0"/>
        <w:ind w:left="0"/>
        <w:jc w:val="left"/>
        <w:textAlignment w:val="auto"/>
      </w:pPr>
      <w:r>
        <w:rPr>
          <w:rFonts w:ascii="Times New Roman"/>
          <w:b w:val="false"/>
          <w:i w:val="false"/>
          <w:color w:val="000000"/>
          <w:sz w:val="24"/>
          <w:lang w:val="pl-PL"/>
        </w:rPr>
        <w:t>10.</w:t>
      </w:r>
      <w:r>
        <w:rPr>
          <w:rFonts w:ascii="Times New Roman"/>
          <w:b w:val="false"/>
          <w:i w:val="false"/>
          <w:color w:val="000000"/>
          <w:sz w:val="24"/>
          <w:lang w:val="pl-PL"/>
        </w:rPr>
        <w:t> Rada gminy, tworząc młodzieżową radę gminy, nadaje jej statut określający w szczególności zasady działania młodzieżowej rady gminy, tryb i kryteria wyboru jej członków oraz zasady wygaśnięcia mandatu i odwołania członka młodzieżowej rady gminy. Podmioty, o których mowa w ust. 2 pkt 1 i 2, mogą przedstawiać opinie w zakresie projektu statutu.</w:t>
      </w:r>
    </w:p>
    <w:p>
      <w:pPr>
        <w:spacing w:before="26" w:after="0"/>
        <w:ind w:left="0"/>
        <w:jc w:val="left"/>
        <w:textAlignment w:val="auto"/>
      </w:pPr>
      <w:r>
        <w:rPr>
          <w:rFonts w:ascii="Times New Roman"/>
          <w:b w:val="false"/>
          <w:i w:val="false"/>
          <w:color w:val="000000"/>
          <w:sz w:val="24"/>
          <w:lang w:val="pl-PL"/>
        </w:rPr>
        <w:t>11.</w:t>
      </w:r>
      <w:r>
        <w:rPr>
          <w:rFonts w:ascii="Times New Roman"/>
          <w:b w:val="false"/>
          <w:i w:val="false"/>
          <w:color w:val="000000"/>
          <w:sz w:val="24"/>
          <w:lang w:val="pl-PL"/>
        </w:rPr>
        <w:t> Członkowi młodzieżowej rady gminy biorącemu udział w posiedzeniach młodzieżowej rady gminy lub w zorganizowanym wydarzeniu, na którym reprezentuje on młodzieżową radę gminy, a w przypadku niepełnoletniego członka młodzieżowej rady gminy - także jego rodzicowi lub opiekunowi prawnemu, zwraca się, na jego wniosek, koszty przejazdu na terenie kraju związane z udziałem w posiedzeniu młodzieżowej rady gminy lub w zorganizowanym wydarzeniu, na którym reprezentuje on młodzieżową radę gminy, na podstawie dokumentów, w szczególności rachunków, faktur lub biletów, potwierdzających poniesione wydatki lub informacji o wysokości poniesionych kosztów przejazdu samochodem. Szczegółowe zasady zwrotu kosztów oraz zasady delegowania przedstawicieli młodzieżowej rady gminy na zorganizowane wydarzenia, na których reprezentują oni młodzieżową radę gminy, reguluje statut młodzieżowej rady gminy.</w:t>
      </w:r>
    </w:p>
    <w:p>
      <w:pPr>
        <w:spacing w:before="26" w:after="0"/>
        <w:ind w:left="0"/>
        <w:jc w:val="left"/>
        <w:textAlignment w:val="auto"/>
      </w:pPr>
      <w:r>
        <w:rPr>
          <w:rFonts w:ascii="Times New Roman"/>
          <w:b w:val="false"/>
          <w:i w:val="false"/>
          <w:color w:val="000000"/>
          <w:sz w:val="24"/>
          <w:lang w:val="pl-PL"/>
        </w:rPr>
        <w:t>12.</w:t>
      </w:r>
      <w:r>
        <w:rPr>
          <w:rFonts w:ascii="Times New Roman"/>
          <w:b w:val="false"/>
          <w:i w:val="false"/>
          <w:color w:val="000000"/>
          <w:sz w:val="24"/>
          <w:lang w:val="pl-PL"/>
        </w:rPr>
        <w:t> Młodzieżowa rada gminy może posiadać opiekuna.</w:t>
      </w:r>
    </w:p>
    <w:p>
      <w:pPr>
        <w:spacing w:before="26" w:after="0"/>
        <w:ind w:left="0"/>
        <w:jc w:val="left"/>
        <w:textAlignment w:val="auto"/>
      </w:pPr>
      <w:r>
        <w:rPr>
          <w:rFonts w:ascii="Times New Roman"/>
          <w:b w:val="false"/>
          <w:i w:val="false"/>
          <w:color w:val="000000"/>
          <w:sz w:val="24"/>
          <w:lang w:val="pl-PL"/>
        </w:rPr>
        <w:t>13.</w:t>
      </w:r>
      <w:r>
        <w:rPr>
          <w:rFonts w:ascii="Times New Roman"/>
          <w:b w:val="false"/>
          <w:i w:val="false"/>
          <w:color w:val="000000"/>
          <w:sz w:val="24"/>
          <w:lang w:val="pl-PL"/>
        </w:rPr>
        <w:t> Statut młodzieżowej rady gminy może określać szczegółowe wymagania, które musi spełniać opiekun, zakres jego obowiązków oraz zasady jego odwoływania.</w:t>
      </w:r>
    </w:p>
    <w:p>
      <w:pPr>
        <w:spacing w:before="26" w:after="0"/>
        <w:ind w:left="0"/>
        <w:jc w:val="left"/>
        <w:textAlignment w:val="auto"/>
      </w:pPr>
      <w:r>
        <w:rPr>
          <w:rFonts w:ascii="Times New Roman"/>
          <w:b w:val="false"/>
          <w:i w:val="false"/>
          <w:color w:val="000000"/>
          <w:sz w:val="24"/>
          <w:lang w:val="pl-PL"/>
        </w:rPr>
        <w:t>14.</w:t>
      </w:r>
      <w:r>
        <w:rPr>
          <w:rFonts w:ascii="Times New Roman"/>
          <w:b w:val="false"/>
          <w:i w:val="false"/>
          <w:color w:val="000000"/>
          <w:sz w:val="24"/>
          <w:lang w:val="pl-PL"/>
        </w:rPr>
        <w:t> Wyboru opiekuna młodzieżowej rady gminy dokonuje rada gminy spośród kandydatów wskazanych przez młodzieżową radę gminy.</w:t>
      </w:r>
    </w:p>
    <w:p>
      <w:pPr>
        <w:spacing w:before="26" w:after="0"/>
        <w:ind w:left="0"/>
        <w:jc w:val="left"/>
        <w:textAlignment w:val="auto"/>
      </w:pPr>
      <w:r>
        <w:rPr>
          <w:rFonts w:ascii="Times New Roman"/>
          <w:b w:val="false"/>
          <w:i w:val="false"/>
          <w:color w:val="000000"/>
          <w:sz w:val="24"/>
          <w:lang w:val="pl-PL"/>
        </w:rPr>
        <w:t>15.</w:t>
      </w:r>
      <w:r>
        <w:rPr>
          <w:rFonts w:ascii="Times New Roman"/>
          <w:b w:val="false"/>
          <w:i w:val="false"/>
          <w:color w:val="000000"/>
          <w:sz w:val="24"/>
          <w:lang w:val="pl-PL"/>
        </w:rPr>
        <w:t> Obsługę administracyjno-biurową młodzieżowej rady gminy zapewnia urząd gminy. Koszty obsługi młodzieżowej rady gminy pokrywa urząd gminy.</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5c.</w:t>
      </w:r>
      <w:r>
        <w:rPr>
          <w:rFonts w:ascii="Times New Roman"/>
          <w:b/>
          <w:i w:val="false"/>
          <w:color w:val="000000"/>
          <w:sz w:val="24"/>
          <w:lang w:val="pl-PL"/>
        </w:rPr>
        <w:t xml:space="preserve"> [Gminna rada seniorów]</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Gmina sprzyja solidarności międzypokoleniowej oraz tworzy warunki do pobudzania aktywności obywatelskiej osób starszych w społeczności lokalnej.</w:t>
      </w: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Rada gminy, z własnej inicjatywy lub na wniosek zainteresowanych środowisk, może utworzyć gminną radę seniorów.</w:t>
      </w:r>
    </w:p>
    <w:p>
      <w:pPr>
        <w:spacing w:before="26" w:after="0"/>
        <w:ind w:left="0"/>
        <w:jc w:val="left"/>
        <w:textAlignment w:val="auto"/>
      </w:pPr>
      <w:r>
        <w:rPr>
          <w:rFonts w:ascii="Times New Roman"/>
          <w:b w:val="false"/>
          <w:i w:val="false"/>
          <w:color w:val="000000"/>
          <w:sz w:val="24"/>
          <w:lang w:val="pl-PL"/>
        </w:rPr>
        <w:t>2a.</w:t>
      </w:r>
      <w:r>
        <w:rPr>
          <w:rFonts w:ascii="Times New Roman"/>
          <w:b w:val="false"/>
          <w:i w:val="false"/>
          <w:color w:val="000000"/>
          <w:sz w:val="24"/>
          <w:lang w:val="pl-PL"/>
        </w:rPr>
        <w:t> Rada gminy tworzy gminną radę seniorów na wniosek:</w:t>
      </w:r>
    </w:p>
    <w:p>
      <w:pPr>
        <w:spacing w:before="26" w:after="0"/>
        <w:ind w:left="373"/>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xml:space="preserve"> w gminie do 20 000 mieszkańców - co najmniej 50 mieszkańców tej gminy, którzy ukończyli 60 lat;</w:t>
      </w:r>
    </w:p>
    <w:p>
      <w:pPr>
        <w:spacing w:before="26" w:after="0"/>
        <w:ind w:left="373"/>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xml:space="preserve"> w gminie powyżej 20 000 mieszkańców - co najmniej 100 mieszkańców tej gminy, którzy ukończyli 60 lat.</w:t>
      </w:r>
    </w:p>
    <w:p>
      <w:pPr>
        <w:spacing w:before="26" w:after="0"/>
        <w:ind w:left="0"/>
        <w:jc w:val="left"/>
        <w:textAlignment w:val="auto"/>
      </w:pPr>
      <w:r>
        <w:rPr>
          <w:rFonts w:ascii="Times New Roman"/>
          <w:b w:val="false"/>
          <w:i w:val="false"/>
          <w:color w:val="000000"/>
          <w:sz w:val="24"/>
          <w:lang w:val="pl-PL"/>
        </w:rPr>
        <w:t>2b.</w:t>
      </w:r>
      <w:r>
        <w:rPr>
          <w:rFonts w:ascii="Times New Roman"/>
          <w:b w:val="false"/>
          <w:i w:val="false"/>
          <w:color w:val="000000"/>
          <w:sz w:val="24"/>
          <w:lang w:val="pl-PL"/>
        </w:rPr>
        <w:t> Wniosek, o którym mowa w ust. 2, jest rozpatrywany przez radę gminy w terminie nie dłuższym niż 3 miesiące od dnia jego złożenia.</w:t>
      </w:r>
    </w:p>
    <w:p>
      <w:pPr>
        <w:spacing w:before="26" w:after="0"/>
        <w:ind w:left="0"/>
        <w:jc w:val="left"/>
        <w:textAlignment w:val="auto"/>
      </w:pPr>
      <w:r>
        <w:rPr>
          <w:rFonts w:ascii="Times New Roman"/>
          <w:b w:val="false"/>
          <w:i w:val="false"/>
          <w:color w:val="000000"/>
          <w:sz w:val="24"/>
          <w:lang w:val="pl-PL"/>
        </w:rPr>
        <w:t>2c.</w:t>
      </w:r>
      <w:r>
        <w:rPr>
          <w:rFonts w:ascii="Times New Roman"/>
          <w:b w:val="false"/>
          <w:i w:val="false"/>
          <w:color w:val="000000"/>
          <w:sz w:val="24"/>
          <w:lang w:val="pl-PL"/>
        </w:rPr>
        <w:t> Jeżeli wniosek, o którym mowa w ust. 2a, spełnia wymogi, o których mowa w tym przepisie, rada gminy tworzy gminną radę seniorów w terminie nie dłuższym niż 3 miesiące od dnia jego złożenia.</w:t>
      </w:r>
    </w:p>
    <w:p>
      <w:pPr>
        <w:spacing w:before="26" w:after="0"/>
        <w:ind w:left="0"/>
        <w:jc w:val="left"/>
        <w:textAlignment w:val="auto"/>
      </w:pPr>
      <w:r>
        <w:rPr>
          <w:rFonts w:ascii="Times New Roman"/>
          <w:b w:val="false"/>
          <w:i w:val="false"/>
          <w:color w:val="000000"/>
          <w:sz w:val="24"/>
          <w:lang w:val="pl-PL"/>
        </w:rPr>
        <w:t>2d.</w:t>
      </w:r>
      <w:r>
        <w:rPr>
          <w:rFonts w:ascii="Times New Roman"/>
          <w:b w:val="false"/>
          <w:i w:val="false"/>
          <w:color w:val="000000"/>
          <w:sz w:val="24"/>
          <w:lang w:val="pl-PL"/>
        </w:rPr>
        <w:t> W przypadku odrzucenia wniosku złożonego przez podmiot, o którym mowa w ust. 2, kolejny wniosek może być złożony przez ten sam podmiot nie wcześniej niż po upływie 6 miesięcy od dnia odrzucenia poprzedniego wniosku.</w:t>
      </w:r>
    </w:p>
    <w:p>
      <w:pPr>
        <w:spacing w:before="26" w:after="0"/>
        <w:ind w:left="0"/>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Gminna rada seniorów ma charakter konsultacyjny, doradczy i inicjatywny.</w:t>
      </w:r>
    </w:p>
    <w:p>
      <w:pPr>
        <w:spacing w:before="26" w:after="0"/>
        <w:ind w:left="0"/>
        <w:jc w:val="left"/>
        <w:textAlignment w:val="auto"/>
      </w:pPr>
      <w:r>
        <w:rPr>
          <w:rFonts w:ascii="Times New Roman"/>
          <w:b w:val="false"/>
          <w:i w:val="false"/>
          <w:color w:val="000000"/>
          <w:sz w:val="24"/>
          <w:lang w:val="pl-PL"/>
        </w:rPr>
        <w:t>3a.</w:t>
      </w:r>
      <w:r>
        <w:rPr>
          <w:rFonts w:ascii="Times New Roman"/>
          <w:b w:val="false"/>
          <w:i w:val="false"/>
          <w:color w:val="000000"/>
          <w:sz w:val="24"/>
          <w:lang w:val="pl-PL"/>
        </w:rPr>
        <w:t> W sprawach dotyczących gminy gminna rada seniorów może kierować zapytania lub wnioski w formie uchwały. Uchwała powinna zawierać krótkie przedstawienie stanu faktycznego będącego jej przedmiotem oraz wynikające z niej pytania. Wójt lub osoba przez niego wyznaczona są obowiązani udzielić odpowiedzi na piśmie, nie później niż w terminie 30 dni od dnia otrzymania uchwały.</w:t>
      </w:r>
    </w:p>
    <w:p>
      <w:pPr>
        <w:spacing w:before="26" w:after="0"/>
        <w:ind w:left="0"/>
        <w:jc w:val="left"/>
        <w:textAlignment w:val="auto"/>
      </w:pPr>
      <w:r>
        <w:rPr>
          <w:rFonts w:ascii="Times New Roman"/>
          <w:b w:val="false"/>
          <w:i w:val="false"/>
          <w:color w:val="000000"/>
          <w:sz w:val="24"/>
          <w:lang w:val="pl-PL"/>
        </w:rPr>
        <w:t>4.</w:t>
      </w:r>
      <w:r>
        <w:rPr>
          <w:rFonts w:ascii="Times New Roman"/>
          <w:b w:val="false"/>
          <w:i w:val="false"/>
          <w:color w:val="000000"/>
          <w:sz w:val="24"/>
          <w:lang w:val="pl-PL"/>
        </w:rPr>
        <w:t> Gminna rada seniorów składa się z przedstawicieli osób starszych oraz przedstawicieli podmiotów działających na rzecz osób starszych, w szczególności przedstawicieli organizacji pozarządowych oraz podmiotów prowadzących uniwersytety trzeciego wieku.</w:t>
      </w:r>
    </w:p>
    <w:p>
      <w:pPr>
        <w:spacing w:before="26" w:after="0"/>
        <w:ind w:left="0"/>
        <w:jc w:val="left"/>
        <w:textAlignment w:val="auto"/>
      </w:pPr>
      <w:r>
        <w:rPr>
          <w:rFonts w:ascii="Times New Roman"/>
          <w:b w:val="false"/>
          <w:i w:val="false"/>
          <w:color w:val="000000"/>
          <w:sz w:val="24"/>
          <w:lang w:val="pl-PL"/>
        </w:rPr>
        <w:t>4a.</w:t>
      </w:r>
      <w:r>
        <w:rPr>
          <w:rFonts w:ascii="Times New Roman"/>
          <w:b w:val="false"/>
          <w:i w:val="false"/>
          <w:color w:val="000000"/>
          <w:sz w:val="24"/>
          <w:lang w:val="pl-PL"/>
        </w:rPr>
        <w:t> Członkowi gminnej rady seniorów biorącemu udział w posiedzeniach gminnej rady seniorów lub w zorganizowanym wydarzeniu, na którym reprezentuje on gminną radę seniorów, mogą być zwracane, na jego wniosek, poniesione koszty, w tym koszty przejazdu na terenie kraju związane z udziałem w posiedzeniu gminnej rady seniorów lub w zorganizowanym wydarzeniu, na którym reprezentuje on gminną radę seniorów, na podstawie dokumentów, w szczególności rachunków, faktur lub biletów, potwierdzających poniesione wydatki lub informacji o wysokości poniesionych kosztów przejazdu samochodem.</w:t>
      </w:r>
    </w:p>
    <w:p>
      <w:pPr>
        <w:spacing w:before="26" w:after="0"/>
        <w:ind w:left="0"/>
        <w:jc w:val="left"/>
        <w:textAlignment w:val="auto"/>
      </w:pPr>
      <w:r>
        <w:rPr>
          <w:rFonts w:ascii="Times New Roman"/>
          <w:b w:val="false"/>
          <w:i w:val="false"/>
          <w:color w:val="000000"/>
          <w:sz w:val="24"/>
          <w:lang w:val="pl-PL"/>
        </w:rPr>
        <w:t>5.</w:t>
      </w:r>
      <w:r>
        <w:rPr>
          <w:rFonts w:ascii="Times New Roman"/>
          <w:b w:val="false"/>
          <w:i w:val="false"/>
          <w:color w:val="000000"/>
          <w:sz w:val="24"/>
          <w:lang w:val="pl-PL"/>
        </w:rPr>
        <w:t> Rada gminy, tworząc gminną radę seniorów, nadaje jej statut określający w szczególności:</w:t>
      </w:r>
    </w:p>
    <w:p>
      <w:pPr>
        <w:spacing w:before="26" w:after="0"/>
        <w:ind w:left="373"/>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xml:space="preserve"> tryb i kryteria wyboru jej członków,</w:t>
      </w:r>
    </w:p>
    <w:p>
      <w:pPr>
        <w:spacing w:before="26" w:after="0"/>
        <w:ind w:left="373"/>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xml:space="preserve"> zasady i tryb jej działania,</w:t>
      </w:r>
    </w:p>
    <w:p>
      <w:pPr>
        <w:spacing w:before="26" w:after="0"/>
        <w:ind w:left="373"/>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xml:space="preserve"> długość jej kadencji, z tym że kadencja nie może trwać dłużej niż kadencja rady gminy, na terenie której funkcjonuje ta rada,</w:t>
      </w:r>
    </w:p>
    <w:p>
      <w:pPr>
        <w:spacing w:before="26" w:after="0"/>
        <w:ind w:left="373"/>
        <w:jc w:val="left"/>
        <w:textAlignment w:val="auto"/>
      </w:pPr>
      <w:r>
        <w:rPr>
          <w:rFonts w:ascii="Times New Roman"/>
          <w:b w:val="false"/>
          <w:i w:val="false"/>
          <w:color w:val="000000"/>
          <w:sz w:val="24"/>
          <w:lang w:val="pl-PL"/>
        </w:rPr>
        <w:t>4)</w:t>
      </w:r>
      <w:r>
        <w:rPr>
          <w:rFonts w:ascii="Times New Roman"/>
          <w:b w:val="false"/>
          <w:i w:val="false"/>
          <w:color w:val="000000"/>
          <w:sz w:val="24"/>
          <w:lang w:val="pl-PL"/>
        </w:rPr>
        <w:t xml:space="preserve"> zasady wygaśnięcia mandatu i odwołania jej członków</w:t>
      </w:r>
    </w:p>
    <w:p>
      <w:pPr>
        <w:spacing w:before="25" w:after="0"/>
        <w:ind w:left="0"/>
        <w:jc w:val="left"/>
        <w:textAlignment w:val="auto"/>
      </w:pPr>
      <w:r>
        <w:rPr>
          <w:rFonts w:ascii="Times New Roman"/>
          <w:b w:val="false"/>
          <w:i w:val="false"/>
          <w:color w:val="000000"/>
          <w:sz w:val="24"/>
          <w:lang w:val="pl-PL"/>
        </w:rPr>
        <w:t>- dążąc do wykorzystania potencjału podmiotów działających na rzecz osób starszych, a także zapewnienia sprawnego sposobu wyboru członków gminnej rady seniorów.</w:t>
      </w:r>
    </w:p>
    <w:p>
      <w:pPr>
        <w:spacing w:before="26" w:after="0"/>
        <w:ind w:left="0"/>
        <w:jc w:val="left"/>
        <w:textAlignment w:val="auto"/>
      </w:pPr>
      <w:r>
        <w:rPr>
          <w:rFonts w:ascii="Times New Roman"/>
          <w:b w:val="false"/>
          <w:i w:val="false"/>
          <w:color w:val="000000"/>
          <w:sz w:val="24"/>
          <w:lang w:val="pl-PL"/>
        </w:rPr>
        <w:t>5a.</w:t>
      </w:r>
      <w:r>
        <w:rPr>
          <w:rFonts w:ascii="Times New Roman"/>
          <w:b w:val="false"/>
          <w:i w:val="false"/>
          <w:color w:val="000000"/>
          <w:sz w:val="24"/>
          <w:lang w:val="pl-PL"/>
        </w:rPr>
        <w:t> Jeżeli rada gminy zadecydowała o zwracaniu kosztów, o których mowa w ust. 4a, w statucie, o którym mowa w ust. 5, określa się zasady zwrotu tych kosztów, w tym ich maksymalną wysokość podlegającą zwrotowi.</w:t>
      </w:r>
    </w:p>
    <w:p>
      <w:pPr>
        <w:spacing w:before="26" w:after="0"/>
        <w:ind w:left="0"/>
        <w:jc w:val="left"/>
        <w:textAlignment w:val="auto"/>
      </w:pPr>
      <w:r>
        <w:rPr>
          <w:rFonts w:ascii="Times New Roman"/>
          <w:b w:val="false"/>
          <w:i w:val="false"/>
          <w:color w:val="000000"/>
          <w:sz w:val="24"/>
          <w:lang w:val="pl-PL"/>
        </w:rPr>
        <w:t>5b.</w:t>
      </w:r>
      <w:r>
        <w:rPr>
          <w:rFonts w:ascii="Times New Roman"/>
          <w:b w:val="false"/>
          <w:i w:val="false"/>
          <w:color w:val="000000"/>
          <w:sz w:val="24"/>
          <w:lang w:val="pl-PL"/>
        </w:rPr>
        <w:t> Podmioty, o których mowa w ust. 2 lub 2a, mogą przedstawiać opinie w zakresie projektu statutu, o którym mowa w ust. 5.</w:t>
      </w:r>
    </w:p>
    <w:p>
      <w:pPr>
        <w:spacing w:before="26" w:after="0"/>
        <w:ind w:left="0"/>
        <w:jc w:val="left"/>
        <w:textAlignment w:val="auto"/>
      </w:pPr>
      <w:r>
        <w:rPr>
          <w:rFonts w:ascii="Times New Roman"/>
          <w:b w:val="false"/>
          <w:i w:val="false"/>
          <w:color w:val="000000"/>
          <w:sz w:val="24"/>
          <w:lang w:val="pl-PL"/>
        </w:rPr>
        <w:t>6.</w:t>
      </w:r>
      <w:r>
        <w:rPr>
          <w:rFonts w:ascii="Times New Roman"/>
          <w:b w:val="false"/>
          <w:i w:val="false"/>
          <w:color w:val="000000"/>
          <w:sz w:val="24"/>
          <w:lang w:val="pl-PL"/>
        </w:rPr>
        <w:t> Rada gminy może w statucie jednostki pomocniczej upoważnić ją do utworzenia rady seniorów jednostki pomocniczej. Przepisy ust. 3-5 stosuje się odpowiednio.</w:t>
      </w:r>
    </w:p>
    <w:p>
      <w:pPr>
        <w:spacing w:before="26" w:after="0"/>
        <w:ind w:left="0"/>
        <w:jc w:val="left"/>
        <w:textAlignment w:val="auto"/>
      </w:pPr>
      <w:r>
        <w:rPr>
          <w:rFonts w:ascii="Times New Roman"/>
          <w:b w:val="false"/>
          <w:i w:val="false"/>
          <w:color w:val="000000"/>
          <w:sz w:val="24"/>
          <w:lang w:val="pl-PL"/>
        </w:rPr>
        <w:t>7.</w:t>
      </w:r>
      <w:r>
        <w:rPr>
          <w:rFonts w:ascii="Times New Roman"/>
          <w:b w:val="false"/>
          <w:i w:val="false"/>
          <w:color w:val="000000"/>
          <w:sz w:val="24"/>
          <w:lang w:val="pl-PL"/>
        </w:rPr>
        <w:t> Gminna rada seniorów może zgłosić do uprawnionych podmiotów wniosek o podjęcie inicjatywy uchwałodawczej. Tryb zgłaszania wniosku o podjęcie inicjatywy uchwałodawczej określa statut gminy.</w:t>
      </w:r>
    </w:p>
    <w:p>
      <w:pPr>
        <w:spacing w:before="26" w:after="0"/>
        <w:ind w:left="0"/>
        <w:jc w:val="left"/>
        <w:textAlignment w:val="auto"/>
      </w:pPr>
      <w:r>
        <w:rPr>
          <w:rFonts w:ascii="Times New Roman"/>
          <w:b w:val="false"/>
          <w:i w:val="false"/>
          <w:color w:val="000000"/>
          <w:sz w:val="24"/>
          <w:lang w:val="pl-PL"/>
        </w:rPr>
        <w:t>8.</w:t>
      </w:r>
      <w:r>
        <w:rPr>
          <w:rFonts w:ascii="Times New Roman"/>
          <w:b w:val="false"/>
          <w:i w:val="false"/>
          <w:color w:val="000000"/>
          <w:sz w:val="24"/>
          <w:lang w:val="pl-PL"/>
        </w:rPr>
        <w:t> Obsługę administracyjno-biurową gminnej rady seniorów zapewnia urząd gminy. Koszty obsługi gminnej rady seniorów pokrywa urząd gminy.</w:t>
      </w:r>
    </w:p>
    <w:p>
      <w:pPr>
        <w:spacing w:after="0"/>
        <w:ind w:left="0"/>
        <w:jc w:val="left"/>
        <w:textAlignment w:val="auto"/>
      </w:pPr>
    </w:p>
    <w:p>
      <w:pPr>
        <w:spacing w:before="89" w:after="0"/>
        <w:ind w:left="0"/>
        <w:jc w:val="center"/>
        <w:textAlignment w:val="auto"/>
      </w:pPr>
      <w:r>
        <w:rPr>
          <w:rFonts w:ascii="Times New Roman"/>
          <w:b/>
          <w:i w:val="false"/>
          <w:color w:val="000000"/>
          <w:sz w:val="24"/>
          <w:lang w:val="pl-PL"/>
        </w:rPr>
        <w:t>Rozdział  2</w:t>
      </w:r>
    </w:p>
    <w:p>
      <w:pPr>
        <w:spacing w:before="25" w:after="0"/>
        <w:ind w:left="0"/>
        <w:jc w:val="center"/>
        <w:textAlignment w:val="auto"/>
      </w:pPr>
      <w:r>
        <w:rPr>
          <w:rFonts w:ascii="Times New Roman"/>
          <w:b/>
          <w:i w:val="false"/>
          <w:color w:val="000000"/>
          <w:sz w:val="24"/>
          <w:lang w:val="pl-PL"/>
        </w:rPr>
        <w:t>Zakres działania i zadania gminy</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6.</w:t>
      </w:r>
      <w:r>
        <w:rPr>
          <w:rFonts w:ascii="Times New Roman"/>
          <w:b/>
          <w:i w:val="false"/>
          <w:color w:val="000000"/>
          <w:sz w:val="24"/>
          <w:lang w:val="pl-PL"/>
        </w:rPr>
        <w:t xml:space="preserve"> [Zakres działania gminy]</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Do zakresu działania gminy należą wszystkie sprawy publiczne o znaczeniu lokalnym, niezastrzeżone ustawami na rzecz innych podmiotów.</w:t>
      </w: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Jeżeli ustawy nie stanowią inaczej, rozstrzyganie w sprawach, o których mowa w ust. 1, należy do gminy.</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7.</w:t>
      </w:r>
      <w:r>
        <w:rPr>
          <w:rFonts w:ascii="Times New Roman"/>
          <w:b/>
          <w:i w:val="false"/>
          <w:color w:val="000000"/>
          <w:sz w:val="24"/>
          <w:lang w:val="pl-PL"/>
        </w:rPr>
        <w:t xml:space="preserve"> [Zadania własne gminy]</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Zaspokajanie zbiorowych potrzeb wspólnoty należy do zadań własnych gminy. W szczególności zadania własne obejmują sprawy:</w:t>
      </w:r>
    </w:p>
    <w:p>
      <w:pPr>
        <w:spacing w:before="26" w:after="0"/>
        <w:ind w:left="373"/>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xml:space="preserve"> ładu przestrzennego, gospodarki nieruchomościami, ochrony środowiska i przyrody oraz gospodarki wodnej;</w:t>
      </w:r>
    </w:p>
    <w:p>
      <w:pPr>
        <w:spacing w:before="26" w:after="0"/>
        <w:ind w:left="373"/>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xml:space="preserve"> gminnych dróg, ulic, mostów, placów oraz organizacji ruchu drogowego;</w:t>
      </w:r>
    </w:p>
    <w:p>
      <w:pPr>
        <w:spacing w:before="26" w:after="0"/>
        <w:ind w:left="373"/>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xml:space="preserve"> wodociągów i zaopatrzenia w wodę, kanalizacji, usuwania i oczyszczania ścieków komunalnych, utrzymania czystości i porządku oraz urządzeń sanitarnych, wysypisk i unieszkodliwiania odpadów komunalnych, zaopatrzenia w energię elektryczną i cieplną oraz gaz;</w:t>
      </w:r>
    </w:p>
    <w:p>
      <w:pPr>
        <w:spacing w:before="26" w:after="0"/>
        <w:ind w:left="373"/>
        <w:jc w:val="left"/>
        <w:textAlignment w:val="auto"/>
      </w:pPr>
      <w:r>
        <w:rPr>
          <w:rFonts w:ascii="Times New Roman"/>
          <w:b w:val="false"/>
          <w:i w:val="false"/>
          <w:color w:val="000000"/>
          <w:sz w:val="24"/>
          <w:lang w:val="pl-PL"/>
        </w:rPr>
        <w:t>3a)</w:t>
      </w:r>
      <w:r>
        <w:rPr>
          <w:rFonts w:ascii="Times New Roman"/>
          <w:b w:val="false"/>
          <w:i w:val="false"/>
          <w:color w:val="000000"/>
          <w:sz w:val="24"/>
          <w:lang w:val="pl-PL"/>
        </w:rPr>
        <w:t xml:space="preserve"> działalności w zakresie telekomunikacji;</w:t>
      </w:r>
    </w:p>
    <w:p>
      <w:pPr>
        <w:spacing w:before="26" w:after="0"/>
        <w:ind w:left="373"/>
        <w:jc w:val="left"/>
        <w:textAlignment w:val="auto"/>
      </w:pPr>
      <w:r>
        <w:rPr>
          <w:rFonts w:ascii="Times New Roman"/>
          <w:b w:val="false"/>
          <w:i w:val="false"/>
          <w:color w:val="000000"/>
          <w:sz w:val="24"/>
          <w:lang w:val="pl-PL"/>
        </w:rPr>
        <w:t>4)</w:t>
      </w:r>
      <w:r>
        <w:rPr>
          <w:rFonts w:ascii="Times New Roman"/>
          <w:b w:val="false"/>
          <w:i w:val="false"/>
          <w:color w:val="000000"/>
          <w:sz w:val="24"/>
          <w:lang w:val="pl-PL"/>
        </w:rPr>
        <w:t xml:space="preserve"> lokalnego transportu zbiorowego;</w:t>
      </w:r>
    </w:p>
    <w:p>
      <w:pPr>
        <w:spacing w:before="26" w:after="0"/>
        <w:ind w:left="373"/>
        <w:jc w:val="left"/>
        <w:textAlignment w:val="auto"/>
      </w:pPr>
      <w:r>
        <w:rPr>
          <w:rFonts w:ascii="Times New Roman"/>
          <w:b w:val="false"/>
          <w:i w:val="false"/>
          <w:color w:val="000000"/>
          <w:sz w:val="24"/>
          <w:lang w:val="pl-PL"/>
        </w:rPr>
        <w:t>5)</w:t>
      </w:r>
      <w:r>
        <w:rPr>
          <w:rFonts w:ascii="Times New Roman"/>
          <w:b w:val="false"/>
          <w:i w:val="false"/>
          <w:color w:val="000000"/>
          <w:sz w:val="24"/>
          <w:lang w:val="pl-PL"/>
        </w:rPr>
        <w:t xml:space="preserve"> ochrony zdrowia;</w:t>
      </w:r>
    </w:p>
    <w:p>
      <w:pPr>
        <w:spacing w:before="26" w:after="0"/>
        <w:ind w:left="373"/>
        <w:jc w:val="left"/>
        <w:textAlignment w:val="auto"/>
      </w:pPr>
      <w:r>
        <w:rPr>
          <w:rFonts w:ascii="Times New Roman"/>
          <w:b w:val="false"/>
          <w:i w:val="false"/>
          <w:color w:val="000000"/>
          <w:sz w:val="24"/>
          <w:lang w:val="pl-PL"/>
        </w:rPr>
        <w:t>6)</w:t>
      </w:r>
      <w:r>
        <w:rPr>
          <w:rFonts w:ascii="Times New Roman"/>
          <w:b w:val="false"/>
          <w:i w:val="false"/>
          <w:color w:val="000000"/>
          <w:sz w:val="24"/>
          <w:lang w:val="pl-PL"/>
        </w:rPr>
        <w:t xml:space="preserve"> pomocy społecznej, w tym ośrodków i zakładów opiekuńczych;</w:t>
      </w:r>
    </w:p>
    <w:p>
      <w:pPr>
        <w:spacing w:before="26" w:after="0"/>
        <w:ind w:left="373"/>
        <w:jc w:val="left"/>
        <w:textAlignment w:val="auto"/>
      </w:pPr>
      <w:r>
        <w:rPr>
          <w:rFonts w:ascii="Times New Roman"/>
          <w:b w:val="false"/>
          <w:i w:val="false"/>
          <w:color w:val="000000"/>
          <w:sz w:val="24"/>
          <w:lang w:val="pl-PL"/>
        </w:rPr>
        <w:t>6a)</w:t>
      </w:r>
      <w:r>
        <w:rPr>
          <w:rFonts w:ascii="Times New Roman"/>
          <w:b w:val="false"/>
          <w:i w:val="false"/>
          <w:color w:val="000000"/>
          <w:sz w:val="24"/>
          <w:lang w:val="pl-PL"/>
        </w:rPr>
        <w:t xml:space="preserve"> wspierania rodziny i systemu pieczy zastępczej;</w:t>
      </w:r>
    </w:p>
    <w:p>
      <w:pPr>
        <w:spacing w:before="26" w:after="0"/>
        <w:ind w:left="373"/>
        <w:jc w:val="left"/>
        <w:textAlignment w:val="auto"/>
      </w:pPr>
      <w:r>
        <w:rPr>
          <w:rFonts w:ascii="Times New Roman"/>
          <w:b w:val="false"/>
          <w:i w:val="false"/>
          <w:color w:val="000000"/>
          <w:sz w:val="24"/>
          <w:lang w:val="pl-PL"/>
        </w:rPr>
        <w:t>7)</w:t>
      </w:r>
      <w:r>
        <w:rPr>
          <w:rFonts w:ascii="Times New Roman"/>
          <w:b w:val="false"/>
          <w:i w:val="false"/>
          <w:color w:val="000000"/>
          <w:sz w:val="24"/>
          <w:lang w:val="pl-PL"/>
        </w:rPr>
        <w:t xml:space="preserve"> gminnego budownictwa mieszkaniowego;</w:t>
      </w:r>
    </w:p>
    <w:p>
      <w:pPr>
        <w:spacing w:before="26" w:after="0"/>
        <w:ind w:left="373"/>
        <w:jc w:val="left"/>
        <w:textAlignment w:val="auto"/>
      </w:pPr>
      <w:r>
        <w:rPr>
          <w:rFonts w:ascii="Times New Roman"/>
          <w:b w:val="false"/>
          <w:i w:val="false"/>
          <w:color w:val="000000"/>
          <w:sz w:val="24"/>
          <w:lang w:val="pl-PL"/>
        </w:rPr>
        <w:t>8)</w:t>
      </w:r>
      <w:r>
        <w:rPr>
          <w:rFonts w:ascii="Times New Roman"/>
          <w:b w:val="false"/>
          <w:i w:val="false"/>
          <w:color w:val="000000"/>
          <w:sz w:val="24"/>
          <w:lang w:val="pl-PL"/>
        </w:rPr>
        <w:t xml:space="preserve"> edukacji publicznej;</w:t>
      </w:r>
    </w:p>
    <w:p>
      <w:pPr>
        <w:spacing w:before="26" w:after="0"/>
        <w:ind w:left="373"/>
        <w:jc w:val="left"/>
        <w:textAlignment w:val="auto"/>
      </w:pPr>
      <w:r>
        <w:rPr>
          <w:rFonts w:ascii="Times New Roman"/>
          <w:b w:val="false"/>
          <w:i w:val="false"/>
          <w:color w:val="000000"/>
          <w:sz w:val="24"/>
          <w:lang w:val="pl-PL"/>
        </w:rPr>
        <w:t>9)</w:t>
      </w:r>
      <w:r>
        <w:rPr>
          <w:rFonts w:ascii="Times New Roman"/>
          <w:b w:val="false"/>
          <w:i w:val="false"/>
          <w:color w:val="000000"/>
          <w:sz w:val="24"/>
          <w:lang w:val="pl-PL"/>
        </w:rPr>
        <w:t xml:space="preserve"> kultury, w tym bibliotek gminnych i innych instytucji kultury oraz ochrony zabytków i opieki nad zabytkami;</w:t>
      </w:r>
    </w:p>
    <w:p>
      <w:pPr>
        <w:spacing w:before="26" w:after="0"/>
        <w:ind w:left="373"/>
        <w:jc w:val="left"/>
        <w:textAlignment w:val="auto"/>
      </w:pPr>
      <w:r>
        <w:rPr>
          <w:rFonts w:ascii="Times New Roman"/>
          <w:b w:val="false"/>
          <w:i w:val="false"/>
          <w:color w:val="000000"/>
          <w:sz w:val="24"/>
          <w:lang w:val="pl-PL"/>
        </w:rPr>
        <w:t>10)</w:t>
      </w:r>
      <w:r>
        <w:rPr>
          <w:rFonts w:ascii="Times New Roman"/>
          <w:b w:val="false"/>
          <w:i w:val="false"/>
          <w:color w:val="000000"/>
          <w:sz w:val="24"/>
          <w:lang w:val="pl-PL"/>
        </w:rPr>
        <w:t xml:space="preserve"> kultury fizycznej i turystyki, w tym terenów rekreacyjnych i urządzeń sportowych;</w:t>
      </w:r>
    </w:p>
    <w:p>
      <w:pPr>
        <w:spacing w:before="26" w:after="0"/>
        <w:ind w:left="373"/>
        <w:jc w:val="left"/>
        <w:textAlignment w:val="auto"/>
      </w:pPr>
      <w:r>
        <w:rPr>
          <w:rFonts w:ascii="Times New Roman"/>
          <w:b w:val="false"/>
          <w:i w:val="false"/>
          <w:color w:val="000000"/>
          <w:sz w:val="24"/>
          <w:lang w:val="pl-PL"/>
        </w:rPr>
        <w:t>11)</w:t>
      </w:r>
      <w:r>
        <w:rPr>
          <w:rFonts w:ascii="Times New Roman"/>
          <w:b w:val="false"/>
          <w:i w:val="false"/>
          <w:color w:val="000000"/>
          <w:sz w:val="24"/>
          <w:lang w:val="pl-PL"/>
        </w:rPr>
        <w:t xml:space="preserve"> targowisk i hal targowych;</w:t>
      </w:r>
    </w:p>
    <w:p>
      <w:pPr>
        <w:spacing w:before="26" w:after="0"/>
        <w:ind w:left="373"/>
        <w:jc w:val="left"/>
        <w:textAlignment w:val="auto"/>
      </w:pPr>
      <w:r>
        <w:rPr>
          <w:rFonts w:ascii="Times New Roman"/>
          <w:b w:val="false"/>
          <w:i w:val="false"/>
          <w:color w:val="000000"/>
          <w:sz w:val="24"/>
          <w:lang w:val="pl-PL"/>
        </w:rPr>
        <w:t>12)</w:t>
      </w:r>
      <w:r>
        <w:rPr>
          <w:rFonts w:ascii="Times New Roman"/>
          <w:b w:val="false"/>
          <w:i w:val="false"/>
          <w:color w:val="000000"/>
          <w:sz w:val="24"/>
          <w:lang w:val="pl-PL"/>
        </w:rPr>
        <w:t xml:space="preserve"> zieleni gminnej i zadrzewień;</w:t>
      </w:r>
    </w:p>
    <w:p>
      <w:pPr>
        <w:spacing w:before="26" w:after="0"/>
        <w:ind w:left="373"/>
        <w:jc w:val="left"/>
        <w:textAlignment w:val="auto"/>
      </w:pPr>
      <w:r>
        <w:rPr>
          <w:rFonts w:ascii="Times New Roman"/>
          <w:b w:val="false"/>
          <w:i w:val="false"/>
          <w:color w:val="000000"/>
          <w:sz w:val="24"/>
          <w:lang w:val="pl-PL"/>
        </w:rPr>
        <w:t>13)</w:t>
      </w:r>
      <w:r>
        <w:rPr>
          <w:rFonts w:ascii="Times New Roman"/>
          <w:b w:val="false"/>
          <w:i w:val="false"/>
          <w:color w:val="000000"/>
          <w:sz w:val="24"/>
          <w:lang w:val="pl-PL"/>
        </w:rPr>
        <w:t xml:space="preserve"> cmentarzy gminnych;</w:t>
      </w:r>
    </w:p>
    <w:p>
      <w:pPr>
        <w:spacing w:before="26" w:after="0"/>
        <w:ind w:left="373"/>
        <w:jc w:val="left"/>
        <w:textAlignment w:val="auto"/>
      </w:pPr>
      <w:r>
        <w:rPr>
          <w:rFonts w:ascii="Times New Roman"/>
          <w:b w:val="false"/>
          <w:i w:val="false"/>
          <w:color w:val="000000"/>
          <w:sz w:val="24"/>
          <w:lang w:val="pl-PL"/>
        </w:rPr>
        <w:t>14)</w:t>
      </w:r>
      <w:r>
        <w:rPr>
          <w:rFonts w:ascii="Times New Roman"/>
          <w:b w:val="false"/>
          <w:i w:val="false"/>
          <w:color w:val="000000"/>
          <w:sz w:val="24"/>
          <w:lang w:val="pl-PL"/>
        </w:rPr>
        <w:t xml:space="preserve"> porządku publicznego i bezpieczeństwa obywateli oraz ochrony przeciwpożarowej i przeciwpowodziowej, w tym wyposażenia i utrzymania gminnego magazynu przeciwpowodziowego;</w:t>
      </w:r>
    </w:p>
    <w:p>
      <w:pPr>
        <w:spacing w:before="26" w:after="0"/>
        <w:ind w:left="373"/>
        <w:jc w:val="left"/>
        <w:textAlignment w:val="auto"/>
      </w:pPr>
      <w:r>
        <w:rPr>
          <w:rFonts w:ascii="Times New Roman"/>
          <w:b w:val="false"/>
          <w:i w:val="false"/>
          <w:color w:val="000000"/>
          <w:sz w:val="24"/>
          <w:lang w:val="pl-PL"/>
        </w:rPr>
        <w:t>14a)</w:t>
      </w:r>
      <w:r>
        <w:rPr>
          <w:rFonts w:ascii="Times New Roman"/>
          <w:b w:val="false"/>
          <w:i w:val="false"/>
          <w:color w:val="000000"/>
          <w:sz w:val="24"/>
          <w:lang w:val="pl-PL"/>
        </w:rPr>
        <w:t xml:space="preserve"> ochrony ludności i obrony cywilnej, w tym tworzenia i utrzymywania zasobów ochrony ludności, z wyłączeniem zadań określonych w </w:t>
      </w:r>
      <w:r>
        <w:rPr>
          <w:rFonts w:ascii="Times New Roman"/>
          <w:b w:val="false"/>
          <w:i w:val="false"/>
          <w:color w:val="1b1b1b"/>
          <w:sz w:val="24"/>
          <w:lang w:val="pl-PL"/>
        </w:rPr>
        <w:t>ustawie</w:t>
      </w:r>
      <w:r>
        <w:rPr>
          <w:rFonts w:ascii="Times New Roman"/>
          <w:b w:val="false"/>
          <w:i w:val="false"/>
          <w:color w:val="000000"/>
          <w:sz w:val="24"/>
          <w:lang w:val="pl-PL"/>
        </w:rPr>
        <w:t xml:space="preserve"> z dnia 5 grudnia 2024 r. o ochronie ludności i obronie cywilnej (Dz. U. poz. 1907) jako zadania zlecone z zakresu administracji rządowej;</w:t>
      </w:r>
    </w:p>
    <w:p>
      <w:pPr>
        <w:spacing w:before="26" w:after="0"/>
        <w:ind w:left="373"/>
        <w:jc w:val="left"/>
        <w:textAlignment w:val="auto"/>
      </w:pPr>
      <w:r>
        <w:rPr>
          <w:rFonts w:ascii="Times New Roman"/>
          <w:b w:val="false"/>
          <w:i w:val="false"/>
          <w:color w:val="000000"/>
          <w:sz w:val="24"/>
          <w:lang w:val="pl-PL"/>
        </w:rPr>
        <w:t>15)</w:t>
      </w:r>
      <w:r>
        <w:rPr>
          <w:rFonts w:ascii="Times New Roman"/>
          <w:b w:val="false"/>
          <w:i w:val="false"/>
          <w:color w:val="000000"/>
          <w:sz w:val="24"/>
          <w:lang w:val="pl-PL"/>
        </w:rPr>
        <w:t xml:space="preserve"> utrzymania gminnych obiektów i urządzeń użyteczności publicznej oraz obiektów administracyjnych;</w:t>
      </w:r>
    </w:p>
    <w:p>
      <w:pPr>
        <w:spacing w:before="26" w:after="0"/>
        <w:ind w:left="373"/>
        <w:jc w:val="left"/>
        <w:textAlignment w:val="auto"/>
      </w:pPr>
      <w:r>
        <w:rPr>
          <w:rFonts w:ascii="Times New Roman"/>
          <w:b w:val="false"/>
          <w:i w:val="false"/>
          <w:color w:val="000000"/>
          <w:sz w:val="24"/>
          <w:lang w:val="pl-PL"/>
        </w:rPr>
        <w:t>16)</w:t>
      </w:r>
      <w:r>
        <w:rPr>
          <w:rFonts w:ascii="Times New Roman"/>
          <w:b w:val="false"/>
          <w:i w:val="false"/>
          <w:color w:val="000000"/>
          <w:sz w:val="24"/>
          <w:lang w:val="pl-PL"/>
        </w:rPr>
        <w:t xml:space="preserve"> polityki prorodzinnej, w tym zapewnienia kobietom w ciąży opieki socjalnej, medycznej i prawnej;</w:t>
      </w:r>
    </w:p>
    <w:p>
      <w:pPr>
        <w:spacing w:before="26" w:after="0"/>
        <w:ind w:left="373"/>
        <w:jc w:val="left"/>
        <w:textAlignment w:val="auto"/>
      </w:pPr>
      <w:r>
        <w:rPr>
          <w:rFonts w:ascii="Times New Roman"/>
          <w:b w:val="false"/>
          <w:i w:val="false"/>
          <w:color w:val="000000"/>
          <w:sz w:val="24"/>
          <w:lang w:val="pl-PL"/>
        </w:rPr>
        <w:t>16a)</w:t>
      </w:r>
      <w:r>
        <w:rPr>
          <w:rFonts w:ascii="Times New Roman"/>
          <w:b w:val="false"/>
          <w:i w:val="false"/>
          <w:color w:val="000000"/>
          <w:sz w:val="24"/>
          <w:lang w:val="pl-PL"/>
        </w:rPr>
        <w:t xml:space="preserve"> polityki senioralnej;</w:t>
      </w:r>
    </w:p>
    <w:p>
      <w:pPr>
        <w:spacing w:before="26" w:after="0"/>
        <w:ind w:left="373"/>
        <w:jc w:val="left"/>
        <w:textAlignment w:val="auto"/>
      </w:pPr>
      <w:r>
        <w:rPr>
          <w:rFonts w:ascii="Times New Roman"/>
          <w:b w:val="false"/>
          <w:i w:val="false"/>
          <w:color w:val="000000"/>
          <w:sz w:val="24"/>
          <w:lang w:val="pl-PL"/>
        </w:rPr>
        <w:t>17)</w:t>
      </w:r>
      <w:r>
        <w:rPr>
          <w:rFonts w:ascii="Times New Roman"/>
          <w:b w:val="false"/>
          <w:i w:val="false"/>
          <w:color w:val="000000"/>
          <w:sz w:val="24"/>
          <w:lang w:val="pl-PL"/>
        </w:rPr>
        <w:t xml:space="preserve"> wspierania i upowszechniania idei samorządowej, w tym tworzenia warunków do działania i rozwoju jednostek pomocniczych i wdrażania programów pobudzania aktywności obywatelskiej;</w:t>
      </w:r>
    </w:p>
    <w:p>
      <w:pPr>
        <w:spacing w:before="26" w:after="0"/>
        <w:ind w:left="373"/>
        <w:jc w:val="left"/>
        <w:textAlignment w:val="auto"/>
      </w:pPr>
      <w:r>
        <w:rPr>
          <w:rFonts w:ascii="Times New Roman"/>
          <w:b w:val="false"/>
          <w:i w:val="false"/>
          <w:color w:val="000000"/>
          <w:sz w:val="24"/>
          <w:lang w:val="pl-PL"/>
        </w:rPr>
        <w:t>18)</w:t>
      </w:r>
      <w:r>
        <w:rPr>
          <w:rFonts w:ascii="Times New Roman"/>
          <w:b w:val="false"/>
          <w:i w:val="false"/>
          <w:color w:val="000000"/>
          <w:sz w:val="24"/>
          <w:lang w:val="pl-PL"/>
        </w:rPr>
        <w:t xml:space="preserve"> promocji gminy;</w:t>
      </w:r>
    </w:p>
    <w:p>
      <w:pPr>
        <w:spacing w:before="26" w:after="0"/>
        <w:ind w:left="373"/>
        <w:jc w:val="left"/>
        <w:textAlignment w:val="auto"/>
      </w:pPr>
      <w:r>
        <w:rPr>
          <w:rFonts w:ascii="Times New Roman"/>
          <w:b w:val="false"/>
          <w:i w:val="false"/>
          <w:color w:val="000000"/>
          <w:sz w:val="24"/>
          <w:lang w:val="pl-PL"/>
        </w:rPr>
        <w:t>19)</w:t>
      </w:r>
      <w:r>
        <w:rPr>
          <w:rFonts w:ascii="Times New Roman"/>
          <w:b w:val="false"/>
          <w:i w:val="false"/>
          <w:color w:val="000000"/>
          <w:sz w:val="24"/>
          <w:lang w:val="pl-PL"/>
        </w:rPr>
        <w:t xml:space="preserve"> współpracy i działalności na rzecz organizacji pozarządowych oraz podmiotów wymienionych w </w:t>
      </w:r>
      <w:r>
        <w:rPr>
          <w:rFonts w:ascii="Times New Roman"/>
          <w:b w:val="false"/>
          <w:i w:val="false"/>
          <w:color w:val="1b1b1b"/>
          <w:sz w:val="24"/>
          <w:lang w:val="pl-PL"/>
        </w:rPr>
        <w:t>art. 3 ust. 3</w:t>
      </w:r>
      <w:r>
        <w:rPr>
          <w:rFonts w:ascii="Times New Roman"/>
          <w:b w:val="false"/>
          <w:i w:val="false"/>
          <w:color w:val="000000"/>
          <w:sz w:val="24"/>
          <w:lang w:val="pl-PL"/>
        </w:rPr>
        <w:t xml:space="preserve"> ustawy z dnia 24 kwietnia 2003 r. o działalności pożytku publicznego i o wolontariacie;</w:t>
      </w:r>
    </w:p>
    <w:p>
      <w:pPr>
        <w:spacing w:before="26" w:after="0"/>
        <w:ind w:left="373"/>
        <w:jc w:val="left"/>
        <w:textAlignment w:val="auto"/>
      </w:pPr>
      <w:r>
        <w:rPr>
          <w:rFonts w:ascii="Times New Roman"/>
          <w:b w:val="false"/>
          <w:i w:val="false"/>
          <w:color w:val="000000"/>
          <w:sz w:val="24"/>
          <w:lang w:val="pl-PL"/>
        </w:rPr>
        <w:t>20)</w:t>
      </w:r>
      <w:r>
        <w:rPr>
          <w:rFonts w:ascii="Times New Roman"/>
          <w:b w:val="false"/>
          <w:i w:val="false"/>
          <w:color w:val="000000"/>
          <w:sz w:val="24"/>
          <w:lang w:val="pl-PL"/>
        </w:rPr>
        <w:t xml:space="preserve"> współpracy ze społecznościami lokalnymi i regionalnymi innych państw.</w:t>
      </w:r>
    </w:p>
    <w:p>
      <w:pPr>
        <w:spacing w:after="0"/>
        <w:ind w:left="0"/>
        <w:jc w:val="left"/>
        <w:textAlignment w:val="auto"/>
      </w:pPr>
    </w:p>
    <w:p>
      <w:pPr>
        <w:spacing w:before="26" w:after="0"/>
        <w:ind w:left="0"/>
        <w:jc w:val="left"/>
        <w:textAlignment w:val="auto"/>
      </w:pPr>
      <w:r>
        <w:rPr>
          <w:rFonts w:ascii="Times New Roman"/>
          <w:b w:val="false"/>
          <w:i w:val="false"/>
          <w:color w:val="000000"/>
          <w:sz w:val="24"/>
          <w:lang w:val="pl-PL"/>
        </w:rPr>
        <w:t>1a.</w:t>
      </w:r>
      <w:r>
        <w:rPr>
          <w:rFonts w:ascii="Times New Roman"/>
          <w:b w:val="false"/>
          <w:i w:val="false"/>
          <w:color w:val="000000"/>
          <w:sz w:val="24"/>
          <w:lang w:val="pl-PL"/>
        </w:rPr>
        <w:t> (uchylony).</w:t>
      </w: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w:t>
      </w:r>
      <w:r>
        <w:rPr>
          <w:rFonts w:ascii="Times New Roman"/>
          <w:b w:val="false"/>
          <w:i w:val="false"/>
          <w:color w:val="1b1b1b"/>
          <w:sz w:val="24"/>
          <w:lang w:val="pl-PL"/>
        </w:rPr>
        <w:t>Ustawy</w:t>
      </w:r>
      <w:r>
        <w:rPr>
          <w:rFonts w:ascii="Times New Roman"/>
          <w:b w:val="false"/>
          <w:i w:val="false"/>
          <w:color w:val="000000"/>
          <w:sz w:val="24"/>
          <w:lang w:val="pl-PL"/>
        </w:rPr>
        <w:t xml:space="preserve"> określają, które zadania własne gminy mają charakter obowiązkowy.</w:t>
      </w:r>
    </w:p>
    <w:p>
      <w:pPr>
        <w:spacing w:before="26" w:after="0"/>
        <w:ind w:left="0"/>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Przekazanie gminie, w drodze ustawy, nowych zadań własnych wymaga zapewnienia koniecznych środków finansowych na ich realizację w postaci zwiększenia dochodów własnych gminy lub subwencji. Przepis art. 8 ust. 4 i 5 stosuje się odpowiednio.</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8.</w:t>
      </w:r>
      <w:r>
        <w:rPr>
          <w:rFonts w:ascii="Times New Roman"/>
          <w:b/>
          <w:i w:val="false"/>
          <w:color w:val="000000"/>
          <w:sz w:val="24"/>
          <w:lang w:val="pl-PL"/>
        </w:rPr>
        <w:t xml:space="preserve"> [Zadania zlecone z zakresu administracji rządowej]</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xml:space="preserve"> </w:t>
      </w:r>
      <w:r>
        <w:rPr>
          <w:rFonts w:ascii="Times New Roman"/>
          <w:b/>
          <w:i w:val="false"/>
          <w:color w:val="000000"/>
          <w:sz w:val="24"/>
          <w:lang w:val="pl-PL"/>
        </w:rPr>
        <w:t> </w:t>
      </w:r>
      <w:r>
        <w:rPr>
          <w:rFonts w:ascii="Times New Roman"/>
          <w:b w:val="false"/>
          <w:i w:val="false"/>
          <w:color w:val="000000"/>
          <w:sz w:val="24"/>
          <w:lang w:val="pl-PL"/>
        </w:rPr>
        <w:t xml:space="preserve"> </w:t>
      </w:r>
      <w:r>
        <w:rPr>
          <w:rFonts w:ascii="Times New Roman"/>
          <w:b w:val="false"/>
          <w:i w:val="false"/>
          <w:color w:val="1b1b1b"/>
          <w:sz w:val="24"/>
          <w:lang w:val="pl-PL"/>
        </w:rPr>
        <w:t>Ustawy</w:t>
      </w:r>
      <w:r>
        <w:rPr>
          <w:rFonts w:ascii="Times New Roman"/>
          <w:b w:val="false"/>
          <w:i w:val="false"/>
          <w:color w:val="000000"/>
          <w:sz w:val="24"/>
          <w:lang w:val="pl-PL"/>
        </w:rPr>
        <w:t xml:space="preserve"> mogą nakładać na gminę obowiązek wykonywania zadań zleconych z zakresu administracji rządowej, a także z zakresu organizacji przygotowań i przeprowadzenia wyborów powszechnych oraz referendów.</w:t>
      </w: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Zadania z zakresu administracji rządowej gmina może wykonywać również na podstawie porozumienia z organami tej administracji.</w:t>
      </w:r>
    </w:p>
    <w:p>
      <w:pPr>
        <w:spacing w:before="26" w:after="0"/>
        <w:ind w:left="0"/>
        <w:jc w:val="left"/>
        <w:textAlignment w:val="auto"/>
      </w:pPr>
      <w:r>
        <w:rPr>
          <w:rFonts w:ascii="Times New Roman"/>
          <w:b w:val="false"/>
          <w:i w:val="false"/>
          <w:color w:val="000000"/>
          <w:sz w:val="24"/>
          <w:lang w:val="pl-PL"/>
        </w:rPr>
        <w:t>2a.</w:t>
      </w:r>
      <w:r>
        <w:rPr>
          <w:rFonts w:ascii="Times New Roman"/>
          <w:b w:val="false"/>
          <w:i w:val="false"/>
          <w:color w:val="000000"/>
          <w:sz w:val="24"/>
          <w:lang w:val="pl-PL"/>
        </w:rPr>
        <w:t> Gmina może wykonywać zadania z zakresu właściwości powiatu oraz zadania z zakresu właściwości województwa na podstawie porozumień z tymi jednostkami samorządu terytorialnego.</w:t>
      </w:r>
    </w:p>
    <w:p>
      <w:pPr>
        <w:spacing w:before="26" w:after="0"/>
        <w:ind w:left="0"/>
        <w:jc w:val="left"/>
        <w:textAlignment w:val="auto"/>
      </w:pPr>
      <w:r>
        <w:rPr>
          <w:rFonts w:ascii="Times New Roman"/>
          <w:b w:val="false"/>
          <w:i w:val="false"/>
          <w:color w:val="000000"/>
          <w:sz w:val="24"/>
          <w:lang w:val="pl-PL"/>
        </w:rPr>
        <w:t>2b.</w:t>
      </w:r>
      <w:r>
        <w:rPr>
          <w:rFonts w:ascii="Times New Roman"/>
          <w:b w:val="false"/>
          <w:i w:val="false"/>
          <w:color w:val="000000"/>
          <w:sz w:val="24"/>
          <w:lang w:val="pl-PL"/>
        </w:rPr>
        <w:t> Spory majątkowe wynikłe z porozumień, o których mowa w ust. 2 i 2a oraz w art. 74, rozpatruje sąd powszechny.</w:t>
      </w:r>
    </w:p>
    <w:p>
      <w:pPr>
        <w:spacing w:before="26" w:after="0"/>
        <w:ind w:left="0"/>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Gmina otrzymuje środki finansowe w wysokości koniecznej do wykonania zadań, o których mowa w ust. 1, 2 i 2a.</w:t>
      </w:r>
    </w:p>
    <w:p>
      <w:pPr>
        <w:spacing w:before="26" w:after="0"/>
        <w:ind w:left="0"/>
        <w:jc w:val="left"/>
        <w:textAlignment w:val="auto"/>
      </w:pPr>
      <w:r>
        <w:rPr>
          <w:rFonts w:ascii="Times New Roman"/>
          <w:b w:val="false"/>
          <w:i w:val="false"/>
          <w:color w:val="000000"/>
          <w:sz w:val="24"/>
          <w:lang w:val="pl-PL"/>
        </w:rPr>
        <w:t>4.</w:t>
      </w:r>
      <w:r>
        <w:rPr>
          <w:rFonts w:ascii="Times New Roman"/>
          <w:b w:val="false"/>
          <w:i w:val="false"/>
          <w:color w:val="000000"/>
          <w:sz w:val="24"/>
          <w:lang w:val="pl-PL"/>
        </w:rPr>
        <w:t xml:space="preserve"> Szczegółowe zasady i terminy przekazywania środków finansowych, o których mowa w ust. 3, określają </w:t>
      </w:r>
      <w:r>
        <w:rPr>
          <w:rFonts w:ascii="Times New Roman"/>
          <w:b w:val="false"/>
          <w:i w:val="false"/>
          <w:color w:val="1b1b1b"/>
          <w:sz w:val="24"/>
          <w:lang w:val="pl-PL"/>
        </w:rPr>
        <w:t>ustawy</w:t>
      </w:r>
      <w:r>
        <w:rPr>
          <w:rFonts w:ascii="Times New Roman"/>
          <w:b w:val="false"/>
          <w:i w:val="false"/>
          <w:color w:val="000000"/>
          <w:sz w:val="24"/>
          <w:lang w:val="pl-PL"/>
        </w:rPr>
        <w:t xml:space="preserve"> nakładające na gminy obowiązek wykonywania zadań zleconych lub zawarte porozumienia.</w:t>
      </w:r>
    </w:p>
    <w:p>
      <w:pPr>
        <w:spacing w:before="26" w:after="0"/>
        <w:ind w:left="0"/>
        <w:jc w:val="left"/>
        <w:textAlignment w:val="auto"/>
      </w:pPr>
      <w:r>
        <w:rPr>
          <w:rFonts w:ascii="Times New Roman"/>
          <w:b w:val="false"/>
          <w:i w:val="false"/>
          <w:color w:val="000000"/>
          <w:sz w:val="24"/>
          <w:lang w:val="pl-PL"/>
        </w:rPr>
        <w:t>5.</w:t>
      </w:r>
      <w:r>
        <w:rPr>
          <w:rFonts w:ascii="Times New Roman"/>
          <w:b w:val="false"/>
          <w:i w:val="false"/>
          <w:color w:val="000000"/>
          <w:sz w:val="24"/>
          <w:lang w:val="pl-PL"/>
        </w:rPr>
        <w:t> W przypadku niedotrzymania terminów, o których mowa w ust. 4, gminie przysługują odsetki w wysokości ustalonej dla zaległości podatkowych.</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8a.</w:t>
      </w:r>
    </w:p>
    <w:p>
      <w:pPr>
        <w:spacing w:after="0"/>
        <w:ind w:left="0"/>
        <w:jc w:val="left"/>
        <w:textAlignment w:val="auto"/>
      </w:pPr>
      <w:r>
        <w:rPr>
          <w:rFonts w:ascii="Times New Roman"/>
          <w:b w:val="false"/>
          <w:i w:val="false"/>
          <w:color w:val="000000"/>
          <w:sz w:val="24"/>
          <w:lang w:val="pl-PL"/>
        </w:rPr>
        <w:t> (utracił moc).</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9.</w:t>
      </w:r>
      <w:r>
        <w:rPr>
          <w:rFonts w:ascii="Times New Roman"/>
          <w:b/>
          <w:i w:val="false"/>
          <w:color w:val="000000"/>
          <w:sz w:val="24"/>
          <w:lang w:val="pl-PL"/>
        </w:rPr>
        <w:t xml:space="preserve"> [Prowadzenie działalności gospodarczej przez gminę. Sposoby realizowania zadań gminy]</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W celu wykonywania zadań gmina może tworzyć jednostki organizacyjne, a także zawierać umowy z innymi podmiotami, w tym z organizacjami pozarządowymi.</w:t>
      </w: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xml:space="preserve"> Gmina oraz inna gminna osoba prawna może prowadzić działalność gospodarczą wykraczającą poza zadania o charakterze użyteczności publicznej wyłącznie w przypadkach określonych w odrębnej </w:t>
      </w:r>
      <w:r>
        <w:rPr>
          <w:rFonts w:ascii="Times New Roman"/>
          <w:b w:val="false"/>
          <w:i w:val="false"/>
          <w:color w:val="1b1b1b"/>
          <w:sz w:val="24"/>
          <w:lang w:val="pl-PL"/>
        </w:rPr>
        <w:t>ustawie</w:t>
      </w:r>
      <w:r>
        <w:rPr>
          <w:rFonts w:ascii="Times New Roman"/>
          <w:b w:val="false"/>
          <w:i w:val="false"/>
          <w:color w:val="000000"/>
          <w:sz w:val="24"/>
          <w:lang w:val="pl-PL"/>
        </w:rPr>
        <w:t>.</w:t>
      </w:r>
    </w:p>
    <w:p>
      <w:pPr>
        <w:spacing w:before="26" w:after="0"/>
        <w:ind w:left="0"/>
        <w:jc w:val="left"/>
        <w:textAlignment w:val="auto"/>
      </w:pPr>
      <w:r>
        <w:rPr>
          <w:rFonts w:ascii="Times New Roman"/>
          <w:b w:val="false"/>
          <w:i w:val="false"/>
          <w:color w:val="000000"/>
          <w:sz w:val="24"/>
          <w:lang w:val="pl-PL"/>
        </w:rPr>
        <w:t>2a.</w:t>
      </w:r>
      <w:r>
        <w:rPr>
          <w:rFonts w:ascii="Times New Roman"/>
          <w:b w:val="false"/>
          <w:i w:val="false"/>
          <w:color w:val="000000"/>
          <w:sz w:val="24"/>
          <w:lang w:val="pl-PL"/>
        </w:rPr>
        <w:t> (uchylony).</w:t>
      </w:r>
    </w:p>
    <w:p>
      <w:pPr>
        <w:spacing w:before="26" w:after="0"/>
        <w:ind w:left="0"/>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xml:space="preserve"> Formy prowadzenia gospodarki gminnej, w tym wykonywania przez gminę zadań o charakterze użyteczności publicznej, określa odrębna </w:t>
      </w:r>
      <w:r>
        <w:rPr>
          <w:rFonts w:ascii="Times New Roman"/>
          <w:b w:val="false"/>
          <w:i w:val="false"/>
          <w:color w:val="1b1b1b"/>
          <w:sz w:val="24"/>
          <w:lang w:val="pl-PL"/>
        </w:rPr>
        <w:t>ustawa</w:t>
      </w:r>
      <w:r>
        <w:rPr>
          <w:rFonts w:ascii="Times New Roman"/>
          <w:b w:val="false"/>
          <w:i w:val="false"/>
          <w:color w:val="000000"/>
          <w:sz w:val="24"/>
          <w:lang w:val="pl-PL"/>
        </w:rPr>
        <w:t>.</w:t>
      </w:r>
    </w:p>
    <w:p>
      <w:pPr>
        <w:spacing w:before="26" w:after="0"/>
        <w:ind w:left="0"/>
        <w:jc w:val="left"/>
        <w:textAlignment w:val="auto"/>
      </w:pPr>
      <w:r>
        <w:rPr>
          <w:rFonts w:ascii="Times New Roman"/>
          <w:b w:val="false"/>
          <w:i w:val="false"/>
          <w:color w:val="000000"/>
          <w:sz w:val="24"/>
          <w:lang w:val="pl-PL"/>
        </w:rPr>
        <w:t>4.</w:t>
      </w:r>
      <w:r>
        <w:rPr>
          <w:rFonts w:ascii="Times New Roman"/>
          <w:b w:val="false"/>
          <w:i w:val="false"/>
          <w:color w:val="000000"/>
          <w:sz w:val="24"/>
          <w:lang w:val="pl-PL"/>
        </w:rPr>
        <w:t> Zadaniami użyteczności publicznej, w rozumieniu ustawy, są zadania własne gminy, określone w art. 7 ust. 1, których celem jest bieżące i nieprzerwane zaspokajanie zbiorowych potrzeb ludności w drodze świadczenia usług powszechnie dostępnych.</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9a.</w:t>
      </w:r>
      <w:r>
        <w:rPr>
          <w:rFonts w:ascii="Times New Roman"/>
          <w:b/>
          <w:i w:val="false"/>
          <w:color w:val="000000"/>
          <w:sz w:val="24"/>
          <w:lang w:val="pl-PL"/>
        </w:rPr>
        <w:t xml:space="preserve"> [Monitoring]</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Gmina w celu zapewnienia porządku publicznego i bezpieczeństwa obywateli oraz ochrony przeciwpożarowej i przeciwpowodziowej może stosować środki techniczne umożliwiające rejestrację obrazu (monitoring) w obszarze przestrzeni publicznej, za zgodą zarządzającego tym obszarem lub podmiotu posiadającego tytuł prawny do tego obszaru lub na terenie nieruchomości i w obiektach budowlanych stanowiących mienie gminy lub jednostek organizacyjnych gminy, a także na terenie wokół takich nieruchomości i obiektów budowlanych, jeżeli jest to konieczne do zapewnienia porządku publicznego i bezpieczeństwa obywateli lub ochrony przeciwpożarowej i przeciwpowodziowej.</w:t>
      </w: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Monitoring nie obejmuje pomieszczeń sanitarnych, szatni, stołówek, palarni oraz obiektów socjalnych.</w:t>
      </w:r>
    </w:p>
    <w:p>
      <w:pPr>
        <w:spacing w:before="26" w:after="0"/>
        <w:ind w:left="0"/>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Nagrania obrazu zawierające dane osobowe przetwarza się wyłącznie do celów, dla których zostały zebrane, i przechowuje przez okres nieprzekraczający 3 miesięcy od dnia nagrania, o ile przepisy odrębne nie stanowią inaczej.</w:t>
      </w:r>
    </w:p>
    <w:p>
      <w:pPr>
        <w:spacing w:before="26" w:after="0"/>
        <w:ind w:left="0"/>
        <w:jc w:val="left"/>
        <w:textAlignment w:val="auto"/>
      </w:pPr>
      <w:r>
        <w:rPr>
          <w:rFonts w:ascii="Times New Roman"/>
          <w:b w:val="false"/>
          <w:i w:val="false"/>
          <w:color w:val="000000"/>
          <w:sz w:val="24"/>
          <w:lang w:val="pl-PL"/>
        </w:rPr>
        <w:t>4.</w:t>
      </w:r>
      <w:r>
        <w:rPr>
          <w:rFonts w:ascii="Times New Roman"/>
          <w:b w:val="false"/>
          <w:i w:val="false"/>
          <w:color w:val="000000"/>
          <w:sz w:val="24"/>
          <w:lang w:val="pl-PL"/>
        </w:rPr>
        <w:t> Po upływie okresu, o którym mowa w ust. 3, uzyskane w wyniku monitoringu nagrania obrazu zawierające dane osobowe, podlegają zniszczeniu, z wyjątkiem sytuacji, w których nagrania zostały zabezpieczone, zgodnie z odrębnymi przepisami.</w:t>
      </w:r>
    </w:p>
    <w:p>
      <w:pPr>
        <w:spacing w:before="26" w:after="0"/>
        <w:ind w:left="0"/>
        <w:jc w:val="left"/>
        <w:textAlignment w:val="auto"/>
      </w:pPr>
      <w:r>
        <w:rPr>
          <w:rFonts w:ascii="Times New Roman"/>
          <w:b w:val="false"/>
          <w:i w:val="false"/>
          <w:color w:val="000000"/>
          <w:sz w:val="24"/>
          <w:lang w:val="pl-PL"/>
        </w:rPr>
        <w:t>5.</w:t>
      </w:r>
      <w:r>
        <w:rPr>
          <w:rFonts w:ascii="Times New Roman"/>
          <w:b w:val="false"/>
          <w:i w:val="false"/>
          <w:color w:val="000000"/>
          <w:sz w:val="24"/>
          <w:lang w:val="pl-PL"/>
        </w:rPr>
        <w:t> Nieruchomości i obiekty budowlane objęte monitoringiem oznacza się w sposób widoczny i czytelny informacją o monitoringu, w szczególności za pomocą odpowiednich znaków.</w:t>
      </w:r>
    </w:p>
    <w:p>
      <w:pPr>
        <w:spacing w:before="26" w:after="0"/>
        <w:ind w:left="0"/>
        <w:jc w:val="left"/>
        <w:textAlignment w:val="auto"/>
      </w:pPr>
      <w:r>
        <w:rPr>
          <w:rFonts w:ascii="Times New Roman"/>
          <w:b w:val="false"/>
          <w:i w:val="false"/>
          <w:color w:val="000000"/>
          <w:sz w:val="24"/>
          <w:lang w:val="pl-PL"/>
        </w:rPr>
        <w:t>6.</w:t>
      </w:r>
      <w:r>
        <w:rPr>
          <w:rFonts w:ascii="Times New Roman"/>
          <w:b w:val="false"/>
          <w:i w:val="false"/>
          <w:color w:val="000000"/>
          <w:sz w:val="24"/>
          <w:lang w:val="pl-PL"/>
        </w:rPr>
        <w:t> Monitoring, w ramach którego dochodzi do przetwarzania danych osobowych, wymaga stosowania środków zabezpieczających przetwarzanie tych danych, w szczególności uniemożliwiających ich utratę lub bezprawne rozpowszechnienie, a także uniemożliwienie dostępu do danych osobom nieuprawnionym.</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10.</w:t>
      </w:r>
      <w:r>
        <w:rPr>
          <w:rFonts w:ascii="Times New Roman"/>
          <w:b/>
          <w:i w:val="false"/>
          <w:color w:val="000000"/>
          <w:sz w:val="24"/>
          <w:lang w:val="pl-PL"/>
        </w:rPr>
        <w:t xml:space="preserve"> [Współdziałanie między jednostkami samorządu terytorialnego]</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Wykonywanie zadań publicznych może być realizowane w drodze współdziałania między jednostkami samorządu terytorialnego.</w:t>
      </w: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Gminy, związki międzygminne oraz stowarzyszenia jednostek samorządu terytorialnego mogą sobie wzajemnie bądź innym jednostkom samorządu terytorialnego udzielać pomocy, w tym pomocy finansowej.</w:t>
      </w:r>
    </w:p>
    <w:p>
      <w:pPr>
        <w:spacing w:before="26" w:after="0"/>
        <w:ind w:left="0"/>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Gminy, związki międzygminne oraz stowarzyszenia jednostek samorządu terytorialnego mogą udzielać pomocy, w tym pomocy finansowej, społecznościom lokalnym i regionalnym innych państw. Podstawą udzielania tej pomocy jest uchwała organu stanowiącego gminy, związku międzygminnego lub właściwego organu statutowego stowarzyszenia jednostek samorządu terytorialnego.</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10a.</w:t>
      </w:r>
      <w:r>
        <w:rPr>
          <w:rFonts w:ascii="Times New Roman"/>
          <w:b/>
          <w:i w:val="false"/>
          <w:color w:val="000000"/>
          <w:sz w:val="24"/>
          <w:lang w:val="pl-PL"/>
        </w:rPr>
        <w:t xml:space="preserve"> [Wspólna obsługa administracyjna, finansowa i organizacyjna gmin]</w:t>
      </w:r>
    </w:p>
    <w:p>
      <w:pPr>
        <w:spacing w:after="0"/>
        <w:ind w:left="0"/>
        <w:jc w:val="left"/>
        <w:textAlignment w:val="auto"/>
      </w:pPr>
      <w:r>
        <w:rPr>
          <w:rFonts w:ascii="Times New Roman"/>
          <w:b w:val="false"/>
          <w:i w:val="false"/>
          <w:color w:val="000000"/>
          <w:sz w:val="24"/>
          <w:lang w:val="pl-PL"/>
        </w:rPr>
        <w:t> Gmina może zapewnić wspólną obsługę, w szczególności administracyjną, finansową i organizacyjną:</w:t>
      </w:r>
    </w:p>
    <w:p>
      <w:pPr>
        <w:spacing w:before="26" w:after="0"/>
        <w:ind w:left="373"/>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xml:space="preserve"> jednostkom organizacyjnym gminy zaliczanym do sektora finansów publicznych,</w:t>
      </w:r>
    </w:p>
    <w:p>
      <w:pPr>
        <w:spacing w:before="26" w:after="0"/>
        <w:ind w:left="373"/>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xml:space="preserve"> gminnym instytucjom kultury,</w:t>
      </w:r>
    </w:p>
    <w:p>
      <w:pPr>
        <w:spacing w:before="26" w:after="0"/>
        <w:ind w:left="373"/>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xml:space="preserve"> innym zaliczanym do sektora finansów publicznych gminnym osobom prawnym utworzonym na podstawie odrębnych ustaw w celu wykonywania zadań publicznych, z wyłączeniem przedsiębiorstw, instytutów badawczych, banków i spółek prawa handlowego</w:t>
      </w:r>
    </w:p>
    <w:p>
      <w:pPr>
        <w:spacing w:before="25" w:after="0"/>
        <w:ind w:left="0"/>
        <w:jc w:val="left"/>
        <w:textAlignment w:val="auto"/>
      </w:pPr>
      <w:r>
        <w:rPr>
          <w:rFonts w:ascii="Times New Roman"/>
          <w:b w:val="false"/>
          <w:i w:val="false"/>
          <w:color w:val="000000"/>
          <w:sz w:val="24"/>
          <w:lang w:val="pl-PL"/>
        </w:rPr>
        <w:t>- zwanym dalej "jednostkami obsługiwanymi".</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10b.</w:t>
      </w:r>
      <w:r>
        <w:rPr>
          <w:rFonts w:ascii="Times New Roman"/>
          <w:b/>
          <w:i w:val="false"/>
          <w:color w:val="000000"/>
          <w:sz w:val="24"/>
          <w:lang w:val="pl-PL"/>
        </w:rPr>
        <w:t xml:space="preserve"> [Zakres wspólnej obsługi]</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Wspólną obsługę mogą prowadzić urząd gminy, inna jednostka organizacyjna gminy, jednostka organizacyjna związku międzygminnego albo jednostka organizacyjna związku powiatowo-gminnego, zwane dalej "jednostkami obsługującymi".</w:t>
      </w: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Rada gminy w odniesieniu do jednostek obsługiwanych, o których mowa w art. 10a pkt 1, określa, w drodze uchwały, w szczególności:</w:t>
      </w:r>
    </w:p>
    <w:p>
      <w:pPr>
        <w:spacing w:before="26" w:after="0"/>
        <w:ind w:left="373"/>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xml:space="preserve"> jednostki obsługujące;</w:t>
      </w:r>
    </w:p>
    <w:p>
      <w:pPr>
        <w:spacing w:before="26" w:after="0"/>
        <w:ind w:left="373"/>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xml:space="preserve"> jednostki obsługiwane;</w:t>
      </w:r>
    </w:p>
    <w:p>
      <w:pPr>
        <w:spacing w:before="26" w:after="0"/>
        <w:ind w:left="373"/>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xml:space="preserve"> zakres obowiązków powierzonych jednostkom obsługującym w ramach wspólnej obsługi.</w:t>
      </w:r>
    </w:p>
    <w:p>
      <w:pPr>
        <w:spacing w:before="26" w:after="0"/>
        <w:ind w:left="0"/>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Jednostki obsługiwane, o których mowa w art. 10a pkt 2 i 3, mogą, na podstawie porozumień zawartych przez te jednostki z jednostką obsługującą, przystąpić do wspólnej obsługi, po uprzednim zgłoszeniu tego zamiaru wójtowi. Zakres wspólnej obsługi określa zawarte porozumienie.</w:t>
      </w:r>
    </w:p>
    <w:p>
      <w:pPr>
        <w:spacing w:before="26" w:after="0"/>
        <w:ind w:left="0"/>
        <w:jc w:val="left"/>
        <w:textAlignment w:val="auto"/>
      </w:pPr>
      <w:r>
        <w:rPr>
          <w:rFonts w:ascii="Times New Roman"/>
          <w:b w:val="false"/>
          <w:i w:val="false"/>
          <w:color w:val="000000"/>
          <w:sz w:val="24"/>
          <w:lang w:val="pl-PL"/>
        </w:rPr>
        <w:t>4.</w:t>
      </w:r>
      <w:r>
        <w:rPr>
          <w:rFonts w:ascii="Times New Roman"/>
          <w:b w:val="false"/>
          <w:i w:val="false"/>
          <w:color w:val="000000"/>
          <w:sz w:val="24"/>
          <w:lang w:val="pl-PL"/>
        </w:rPr>
        <w:t> Jednostka obsługująca ma prawo żądania od jednostki obsługiwanej informacji oraz wglądu w dokumentację w zakresie niezbędnym do wykonywania zadań w ramach wspólnej obsługi tej jednostki.</w:t>
      </w:r>
    </w:p>
    <w:p>
      <w:pPr>
        <w:spacing w:before="26" w:after="0"/>
        <w:ind w:left="0"/>
        <w:jc w:val="left"/>
        <w:textAlignment w:val="auto"/>
      </w:pPr>
      <w:r>
        <w:rPr>
          <w:rFonts w:ascii="Times New Roman"/>
          <w:b w:val="false"/>
          <w:i w:val="false"/>
          <w:color w:val="000000"/>
          <w:sz w:val="24"/>
          <w:lang w:val="pl-PL"/>
        </w:rPr>
        <w:t>5.</w:t>
      </w:r>
      <w:r>
        <w:rPr>
          <w:rFonts w:ascii="Times New Roman"/>
          <w:b w:val="false"/>
          <w:i w:val="false"/>
          <w:color w:val="000000"/>
          <w:sz w:val="24"/>
          <w:lang w:val="pl-PL"/>
        </w:rPr>
        <w:t> Jednostka obsługiwana ma prawo żądania od jednostki obsługującej informacji oraz wglądu w dokumentację w zakresie zadań wykonywanych przez jednostkę obsługującą w ramach wspólnej obsługi.</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10c.</w:t>
      </w:r>
      <w:r>
        <w:rPr>
          <w:rFonts w:ascii="Times New Roman"/>
          <w:b/>
          <w:i w:val="false"/>
          <w:color w:val="000000"/>
          <w:sz w:val="24"/>
          <w:lang w:val="pl-PL"/>
        </w:rPr>
        <w:t xml:space="preserve"> [Wyłączenia z zakresu wspólnej obsługi]</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Zakres wspólnej obsługi nie może obejmować kompetencji kierowników jednostek zaliczanych do sektora finansów publicznych do dysponowania środkami publicznymi oraz zaciągania zobowiązań, a także sporządzania i zatwierdzania planu finansowego oraz przeniesień wydatków w tym planie.</w:t>
      </w: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W przypadku powierzenia obowiązków z zakresu rachunkowości i sprawozdawczości jednostek obsługiwanych, o których mowa w art. 10a pkt 1 i 2, są one przekazywane w całości.</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10d.</w:t>
      </w:r>
      <w:r>
        <w:rPr>
          <w:rFonts w:ascii="Times New Roman"/>
          <w:b/>
          <w:i w:val="false"/>
          <w:color w:val="000000"/>
          <w:sz w:val="24"/>
          <w:lang w:val="pl-PL"/>
        </w:rPr>
        <w:t xml:space="preserve"> [Przetwarzanie danych osobowych w ramach wspólnej obsługi]</w:t>
      </w:r>
    </w:p>
    <w:p>
      <w:pPr>
        <w:spacing w:after="0"/>
        <w:ind w:left="0"/>
        <w:jc w:val="left"/>
        <w:textAlignment w:val="auto"/>
      </w:pPr>
      <w:r>
        <w:rPr>
          <w:rFonts w:ascii="Times New Roman"/>
          <w:b w:val="false"/>
          <w:i w:val="false"/>
          <w:color w:val="000000"/>
          <w:sz w:val="24"/>
          <w:lang w:val="pl-PL"/>
        </w:rPr>
        <w:t> Jednostka obsługująca jest uprawniona do przetwarzania danych osobowych przetwarzanych przez jednostkę obsługiwaną w zakresie i celu niezbędnych do wykonywania zadań w ramach wspólnej obsługi tej jednostki.</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10e.</w:t>
      </w:r>
      <w:r>
        <w:rPr>
          <w:rFonts w:ascii="Times New Roman"/>
          <w:b/>
          <w:i w:val="false"/>
          <w:color w:val="000000"/>
          <w:sz w:val="24"/>
          <w:lang w:val="pl-PL"/>
        </w:rPr>
        <w:t xml:space="preserve"> [Elementy strategii rozwoju gminy; spójność z innymi strategiami rozwoju]</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Gmina może opracować strategię rozwoju gminy.</w:t>
      </w: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Strategia rozwoju gminy jest spójna ze strategią rozwoju województwa oraz strategią rozwoju ponadlokalnego, obejmującą tę gminę.</w:t>
      </w:r>
    </w:p>
    <w:p>
      <w:pPr>
        <w:spacing w:before="26" w:after="0"/>
        <w:ind w:left="0"/>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xml:space="preserve"> Strategia rozwoju gminy zawiera wnioski z diagnozy, o której mowa w </w:t>
      </w:r>
      <w:r>
        <w:rPr>
          <w:rFonts w:ascii="Times New Roman"/>
          <w:b w:val="false"/>
          <w:i w:val="false"/>
          <w:color w:val="1b1b1b"/>
          <w:sz w:val="24"/>
          <w:lang w:val="pl-PL"/>
        </w:rPr>
        <w:t>art. 10a ust. 1</w:t>
      </w:r>
      <w:r>
        <w:rPr>
          <w:rFonts w:ascii="Times New Roman"/>
          <w:b w:val="false"/>
          <w:i w:val="false"/>
          <w:color w:val="000000"/>
          <w:sz w:val="24"/>
          <w:lang w:val="pl-PL"/>
        </w:rPr>
        <w:t xml:space="preserve"> ustawy z dnia 6 grudnia 2006 r. o zasadach prowadzenia polityki rozwoju (Dz. U. z 2025 r. poz. 198), przygotowanej na potrzeby tej strategii, oraz określa w szczególności:</w:t>
      </w:r>
    </w:p>
    <w:p>
      <w:pPr>
        <w:spacing w:before="26" w:after="0"/>
        <w:ind w:left="373"/>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xml:space="preserve"> cele strategiczne rozwoju w wymiarze społecznym, gospodarczym, przestrzennym i klimatyczno-środowiskowym;</w:t>
      </w:r>
    </w:p>
    <w:p>
      <w:pPr>
        <w:spacing w:before="26" w:after="0"/>
        <w:ind w:left="373"/>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xml:space="preserve"> kierunki działań podejmowanych dla osiągnięcia celów strategicznych;</w:t>
      </w:r>
    </w:p>
    <w:p>
      <w:pPr>
        <w:spacing w:before="26" w:after="0"/>
        <w:ind w:left="373"/>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xml:space="preserve"> oczekiwane rezultaty planowanych działań, w tym w wymiarze przestrzennym, oraz wskaźniki ich osiągnięcia;</w:t>
      </w:r>
    </w:p>
    <w:p>
      <w:pPr>
        <w:spacing w:before="26" w:after="0"/>
        <w:ind w:left="373"/>
        <w:jc w:val="left"/>
        <w:textAlignment w:val="auto"/>
      </w:pPr>
      <w:r>
        <w:rPr>
          <w:rFonts w:ascii="Times New Roman"/>
          <w:b w:val="false"/>
          <w:i w:val="false"/>
          <w:color w:val="000000"/>
          <w:sz w:val="24"/>
          <w:lang w:val="pl-PL"/>
        </w:rPr>
        <w:t>4)</w:t>
      </w:r>
      <w:r>
        <w:rPr>
          <w:rFonts w:ascii="Times New Roman"/>
          <w:b w:val="false"/>
          <w:i w:val="false"/>
          <w:color w:val="000000"/>
          <w:sz w:val="24"/>
          <w:lang w:val="pl-PL"/>
        </w:rPr>
        <w:t xml:space="preserve"> model struktury funkcjonalno-przestrzennej gminy, rozumiany jako docelowy układ elementów składowych przestrzeni, w tym:</w:t>
      </w:r>
    </w:p>
    <w:p>
      <w:pPr>
        <w:spacing w:after="0"/>
        <w:ind w:left="746"/>
        <w:jc w:val="left"/>
        <w:textAlignment w:val="auto"/>
      </w:pPr>
      <w:r>
        <w:rPr>
          <w:rFonts w:ascii="Times New Roman"/>
          <w:b w:val="false"/>
          <w:i w:val="false"/>
          <w:color w:val="000000"/>
          <w:sz w:val="24"/>
          <w:lang w:val="pl-PL"/>
        </w:rPr>
        <w:t>a)</w:t>
      </w:r>
      <w:r>
        <w:rPr>
          <w:rFonts w:ascii="Times New Roman"/>
          <w:b w:val="false"/>
          <w:i w:val="false"/>
          <w:color w:val="000000"/>
          <w:sz w:val="24"/>
          <w:lang w:val="pl-PL"/>
        </w:rPr>
        <w:t xml:space="preserve"> strukturę sieci osadniczej wraz z rolą i hierarchią jednostek osadniczych,</w:t>
      </w:r>
    </w:p>
    <w:p>
      <w:pPr>
        <w:spacing w:after="0"/>
        <w:ind w:left="746"/>
        <w:jc w:val="left"/>
        <w:textAlignment w:val="auto"/>
      </w:pPr>
      <w:r>
        <w:rPr>
          <w:rFonts w:ascii="Times New Roman"/>
          <w:b w:val="false"/>
          <w:i w:val="false"/>
          <w:color w:val="000000"/>
          <w:sz w:val="24"/>
          <w:lang w:val="pl-PL"/>
        </w:rPr>
        <w:t>b)</w:t>
      </w:r>
      <w:r>
        <w:rPr>
          <w:rFonts w:ascii="Times New Roman"/>
          <w:b w:val="false"/>
          <w:i w:val="false"/>
          <w:color w:val="000000"/>
          <w:sz w:val="24"/>
          <w:lang w:val="pl-PL"/>
        </w:rPr>
        <w:t xml:space="preserve"> system powiązań przyrodniczych,</w:t>
      </w:r>
    </w:p>
    <w:p>
      <w:pPr>
        <w:spacing w:after="0"/>
        <w:ind w:left="746"/>
        <w:jc w:val="left"/>
        <w:textAlignment w:val="auto"/>
      </w:pPr>
      <w:r>
        <w:rPr>
          <w:rFonts w:ascii="Times New Roman"/>
          <w:b w:val="false"/>
          <w:i w:val="false"/>
          <w:color w:val="000000"/>
          <w:sz w:val="24"/>
          <w:lang w:val="pl-PL"/>
        </w:rPr>
        <w:t>c)</w:t>
      </w:r>
      <w:r>
        <w:rPr>
          <w:rFonts w:ascii="Times New Roman"/>
          <w:b w:val="false"/>
          <w:i w:val="false"/>
          <w:color w:val="000000"/>
          <w:sz w:val="24"/>
          <w:lang w:val="pl-PL"/>
        </w:rPr>
        <w:t xml:space="preserve"> główne korytarze i elementy sieci transportowych, w tym pieszych i rowerowych,</w:t>
      </w:r>
    </w:p>
    <w:p>
      <w:pPr>
        <w:spacing w:after="0"/>
        <w:ind w:left="746"/>
        <w:jc w:val="left"/>
        <w:textAlignment w:val="auto"/>
      </w:pPr>
      <w:r>
        <w:rPr>
          <w:rFonts w:ascii="Times New Roman"/>
          <w:b w:val="false"/>
          <w:i w:val="false"/>
          <w:color w:val="000000"/>
          <w:sz w:val="24"/>
          <w:lang w:val="pl-PL"/>
        </w:rPr>
        <w:t>d)</w:t>
      </w:r>
      <w:r>
        <w:rPr>
          <w:rFonts w:ascii="Times New Roman"/>
          <w:b w:val="false"/>
          <w:i w:val="false"/>
          <w:color w:val="000000"/>
          <w:sz w:val="24"/>
          <w:lang w:val="pl-PL"/>
        </w:rPr>
        <w:t xml:space="preserve"> główne elementy infrastruktury technicznej i społecznej;</w:t>
      </w:r>
    </w:p>
    <w:p>
      <w:pPr>
        <w:spacing w:before="26" w:after="0"/>
        <w:ind w:left="373"/>
        <w:jc w:val="left"/>
        <w:textAlignment w:val="auto"/>
      </w:pPr>
      <w:r>
        <w:rPr>
          <w:rFonts w:ascii="Times New Roman"/>
          <w:b w:val="false"/>
          <w:i w:val="false"/>
          <w:color w:val="000000"/>
          <w:sz w:val="24"/>
          <w:lang w:val="pl-PL"/>
        </w:rPr>
        <w:t>5)</w:t>
      </w:r>
      <w:r>
        <w:rPr>
          <w:rFonts w:ascii="Times New Roman"/>
          <w:b w:val="false"/>
          <w:i w:val="false"/>
          <w:color w:val="000000"/>
          <w:sz w:val="24"/>
          <w:lang w:val="pl-PL"/>
        </w:rPr>
        <w:t xml:space="preserve"> ustalenia i rekomendacje w zakresie kształtowania i prowadzenia polityki przestrzennej w gminie dotyczące:</w:t>
      </w:r>
    </w:p>
    <w:p>
      <w:pPr>
        <w:spacing w:after="0"/>
        <w:ind w:left="746"/>
        <w:jc w:val="left"/>
        <w:textAlignment w:val="auto"/>
      </w:pPr>
      <w:r>
        <w:rPr>
          <w:rFonts w:ascii="Times New Roman"/>
          <w:b w:val="false"/>
          <w:i w:val="false"/>
          <w:color w:val="000000"/>
          <w:sz w:val="24"/>
          <w:lang w:val="pl-PL"/>
        </w:rPr>
        <w:t>a)</w:t>
      </w:r>
      <w:r>
        <w:rPr>
          <w:rFonts w:ascii="Times New Roman"/>
          <w:b w:val="false"/>
          <w:i w:val="false"/>
          <w:color w:val="000000"/>
          <w:sz w:val="24"/>
          <w:lang w:val="pl-PL"/>
        </w:rPr>
        <w:t xml:space="preserve"> zasad ochrony środowiska i jego zasobów, w tym ochrony powietrza, przyrody i krajobrazu,</w:t>
      </w:r>
    </w:p>
    <w:p>
      <w:pPr>
        <w:spacing w:after="0"/>
        <w:ind w:left="746"/>
        <w:jc w:val="left"/>
        <w:textAlignment w:val="auto"/>
      </w:pPr>
      <w:r>
        <w:rPr>
          <w:rFonts w:ascii="Times New Roman"/>
          <w:b w:val="false"/>
          <w:i w:val="false"/>
          <w:color w:val="000000"/>
          <w:sz w:val="24"/>
          <w:lang w:val="pl-PL"/>
        </w:rPr>
        <w:t>b)</w:t>
      </w:r>
      <w:r>
        <w:rPr>
          <w:rFonts w:ascii="Times New Roman"/>
          <w:b w:val="false"/>
          <w:i w:val="false"/>
          <w:color w:val="000000"/>
          <w:sz w:val="24"/>
          <w:lang w:val="pl-PL"/>
        </w:rPr>
        <w:t xml:space="preserve"> zasad ochrony dziedzictwa kulturowego i zabytków oraz dóbr kultury współczesnej,</w:t>
      </w:r>
    </w:p>
    <w:p>
      <w:pPr>
        <w:spacing w:after="0"/>
        <w:ind w:left="746"/>
        <w:jc w:val="left"/>
        <w:textAlignment w:val="auto"/>
      </w:pPr>
      <w:r>
        <w:rPr>
          <w:rFonts w:ascii="Times New Roman"/>
          <w:b w:val="false"/>
          <w:i w:val="false"/>
          <w:color w:val="000000"/>
          <w:sz w:val="24"/>
          <w:lang w:val="pl-PL"/>
        </w:rPr>
        <w:t>c)</w:t>
      </w:r>
      <w:r>
        <w:rPr>
          <w:rFonts w:ascii="Times New Roman"/>
          <w:b w:val="false"/>
          <w:i w:val="false"/>
          <w:color w:val="000000"/>
          <w:sz w:val="24"/>
          <w:lang w:val="pl-PL"/>
        </w:rPr>
        <w:t xml:space="preserve"> kierunków zmian w strukturze zagospodarowania terenów, w tym określenia szczególnych potrzeb w zakresie nowej zabudowy mieszkaniowej,</w:t>
      </w:r>
    </w:p>
    <w:p>
      <w:pPr>
        <w:spacing w:after="0"/>
        <w:ind w:left="746"/>
        <w:jc w:val="left"/>
        <w:textAlignment w:val="auto"/>
      </w:pPr>
      <w:r>
        <w:rPr>
          <w:rFonts w:ascii="Times New Roman"/>
          <w:b w:val="false"/>
          <w:i w:val="false"/>
          <w:color w:val="000000"/>
          <w:sz w:val="24"/>
          <w:lang w:val="pl-PL"/>
        </w:rPr>
        <w:t>d)</w:t>
      </w:r>
      <w:r>
        <w:rPr>
          <w:rFonts w:ascii="Times New Roman"/>
          <w:b w:val="false"/>
          <w:i w:val="false"/>
          <w:color w:val="000000"/>
          <w:sz w:val="24"/>
          <w:lang w:val="pl-PL"/>
        </w:rPr>
        <w:t xml:space="preserve"> zasad lokalizacji obiektów handlu wielkopowierzchniowego w rozumieniu </w:t>
      </w:r>
      <w:r>
        <w:rPr>
          <w:rFonts w:ascii="Times New Roman"/>
          <w:b w:val="false"/>
          <w:i w:val="false"/>
          <w:color w:val="1b1b1b"/>
          <w:sz w:val="24"/>
          <w:lang w:val="pl-PL"/>
        </w:rPr>
        <w:t>ustawy</w:t>
      </w:r>
      <w:r>
        <w:rPr>
          <w:rFonts w:ascii="Times New Roman"/>
          <w:b w:val="false"/>
          <w:i w:val="false"/>
          <w:color w:val="000000"/>
          <w:sz w:val="24"/>
          <w:lang w:val="pl-PL"/>
        </w:rPr>
        <w:t xml:space="preserve"> z dnia 27 marca 2003 r. o planowaniu i zagospodarowaniu przestrzennym (Dz. U. z 2024 r. poz. 1130, 1907 i 1940 oraz z 2025 r. poz. 527 i 680),</w:t>
      </w:r>
    </w:p>
    <w:p>
      <w:pPr>
        <w:spacing w:after="0"/>
        <w:ind w:left="746"/>
        <w:jc w:val="left"/>
        <w:textAlignment w:val="auto"/>
      </w:pPr>
      <w:r>
        <w:rPr>
          <w:rFonts w:ascii="Times New Roman"/>
          <w:b w:val="false"/>
          <w:i w:val="false"/>
          <w:color w:val="000000"/>
          <w:sz w:val="24"/>
          <w:lang w:val="pl-PL"/>
        </w:rPr>
        <w:t>e)</w:t>
      </w:r>
      <w:r>
        <w:rPr>
          <w:rFonts w:ascii="Times New Roman"/>
          <w:b w:val="false"/>
          <w:i w:val="false"/>
          <w:color w:val="000000"/>
          <w:sz w:val="24"/>
          <w:lang w:val="pl-PL"/>
        </w:rPr>
        <w:t xml:space="preserve"> zasad lokalizacji kluczowych inwestycji celu publicznego,</w:t>
      </w:r>
    </w:p>
    <w:p>
      <w:pPr>
        <w:spacing w:after="0"/>
        <w:ind w:left="746"/>
        <w:jc w:val="left"/>
        <w:textAlignment w:val="auto"/>
      </w:pPr>
      <w:r>
        <w:rPr>
          <w:rFonts w:ascii="Times New Roman"/>
          <w:b w:val="false"/>
          <w:i w:val="false"/>
          <w:color w:val="000000"/>
          <w:sz w:val="24"/>
          <w:lang w:val="pl-PL"/>
        </w:rPr>
        <w:t>f)</w:t>
      </w:r>
      <w:r>
        <w:rPr>
          <w:rFonts w:ascii="Times New Roman"/>
          <w:b w:val="false"/>
          <w:i w:val="false"/>
          <w:color w:val="000000"/>
          <w:sz w:val="24"/>
          <w:lang w:val="pl-PL"/>
        </w:rPr>
        <w:t xml:space="preserve"> kierunków rozwoju systemów komunikacji, infrastruktury technicznej i społecznej,</w:t>
      </w:r>
    </w:p>
    <w:p>
      <w:pPr>
        <w:spacing w:after="0"/>
        <w:ind w:left="746"/>
        <w:jc w:val="left"/>
        <w:textAlignment w:val="auto"/>
      </w:pPr>
      <w:r>
        <w:rPr>
          <w:rFonts w:ascii="Times New Roman"/>
          <w:b w:val="false"/>
          <w:i w:val="false"/>
          <w:color w:val="000000"/>
          <w:sz w:val="24"/>
          <w:lang w:val="pl-PL"/>
        </w:rPr>
        <w:t>g)</w:t>
      </w:r>
      <w:r>
        <w:rPr>
          <w:rFonts w:ascii="Times New Roman"/>
          <w:b w:val="false"/>
          <w:i w:val="false"/>
          <w:color w:val="000000"/>
          <w:sz w:val="24"/>
          <w:lang w:val="pl-PL"/>
        </w:rPr>
        <w:t xml:space="preserve"> zasad lokalizacji urządzeń wytwarzających energię o mocy zainstalowanej przekraczającej 500 kW,</w:t>
      </w:r>
    </w:p>
    <w:p>
      <w:pPr>
        <w:spacing w:after="0"/>
        <w:ind w:left="746"/>
        <w:jc w:val="left"/>
        <w:textAlignment w:val="auto"/>
      </w:pPr>
      <w:r>
        <w:rPr>
          <w:rFonts w:ascii="Times New Roman"/>
          <w:b w:val="false"/>
          <w:i w:val="false"/>
          <w:color w:val="000000"/>
          <w:sz w:val="24"/>
          <w:lang w:val="pl-PL"/>
        </w:rPr>
        <w:t>h)</w:t>
      </w:r>
      <w:r>
        <w:rPr>
          <w:rFonts w:ascii="Times New Roman"/>
          <w:b w:val="false"/>
          <w:i w:val="false"/>
          <w:color w:val="000000"/>
          <w:sz w:val="24"/>
          <w:lang w:val="pl-PL"/>
        </w:rPr>
        <w:t xml:space="preserve"> zasad lokalizacji przedsięwzięć mogących znacząco oddziaływać na środowisko,</w:t>
      </w:r>
    </w:p>
    <w:p>
      <w:pPr>
        <w:spacing w:after="0"/>
        <w:ind w:left="746"/>
        <w:jc w:val="left"/>
        <w:textAlignment w:val="auto"/>
      </w:pPr>
      <w:r>
        <w:rPr>
          <w:rFonts w:ascii="Times New Roman"/>
          <w:b w:val="false"/>
          <w:i w:val="false"/>
          <w:color w:val="000000"/>
          <w:sz w:val="24"/>
          <w:lang w:val="pl-PL"/>
        </w:rPr>
        <w:t>i)</w:t>
      </w:r>
      <w:r>
        <w:rPr>
          <w:rFonts w:ascii="Times New Roman"/>
          <w:b w:val="false"/>
          <w:i w:val="false"/>
          <w:color w:val="000000"/>
          <w:sz w:val="24"/>
          <w:lang w:val="pl-PL"/>
        </w:rPr>
        <w:t xml:space="preserve"> zasad kształtowania rolniczej i leśnej przestrzeni produkcyjnej,</w:t>
      </w:r>
    </w:p>
    <w:p>
      <w:pPr>
        <w:spacing w:after="0"/>
        <w:ind w:left="746"/>
        <w:jc w:val="left"/>
        <w:textAlignment w:val="auto"/>
      </w:pPr>
      <w:r>
        <w:rPr>
          <w:rFonts w:ascii="Times New Roman"/>
          <w:b w:val="false"/>
          <w:i w:val="false"/>
          <w:color w:val="000000"/>
          <w:sz w:val="24"/>
          <w:lang w:val="pl-PL"/>
        </w:rPr>
        <w:t>j)</w:t>
      </w:r>
      <w:r>
        <w:rPr>
          <w:rFonts w:ascii="Times New Roman"/>
          <w:b w:val="false"/>
          <w:i w:val="false"/>
          <w:color w:val="000000"/>
          <w:sz w:val="24"/>
          <w:lang w:val="pl-PL"/>
        </w:rPr>
        <w:t xml:space="preserve"> zasad kształtowania zagospodarowania przestrzennego na obszarach zdegradowanych i obszarach rewitalizacji oraz obszarach wymagających przekształceń, rehabilitacji, rekultywacji lub remediacji;</w:t>
      </w:r>
    </w:p>
    <w:p>
      <w:pPr>
        <w:spacing w:before="26" w:after="0"/>
        <w:ind w:left="373"/>
        <w:jc w:val="left"/>
        <w:textAlignment w:val="auto"/>
      </w:pPr>
      <w:r>
        <w:rPr>
          <w:rFonts w:ascii="Times New Roman"/>
          <w:b w:val="false"/>
          <w:i w:val="false"/>
          <w:color w:val="000000"/>
          <w:sz w:val="24"/>
          <w:lang w:val="pl-PL"/>
        </w:rPr>
        <w:t>6)</w:t>
      </w:r>
      <w:r>
        <w:rPr>
          <w:rFonts w:ascii="Times New Roman"/>
          <w:b w:val="false"/>
          <w:i w:val="false"/>
          <w:color w:val="000000"/>
          <w:sz w:val="24"/>
          <w:lang w:val="pl-PL"/>
        </w:rPr>
        <w:t xml:space="preserve"> obszary strategicznej interwencji określone w strategii rozwoju województwa, o której mowa w </w:t>
      </w:r>
      <w:r>
        <w:rPr>
          <w:rFonts w:ascii="Times New Roman"/>
          <w:b w:val="false"/>
          <w:i w:val="false"/>
          <w:color w:val="1b1b1b"/>
          <w:sz w:val="24"/>
          <w:lang w:val="pl-PL"/>
        </w:rPr>
        <w:t>art. 11 ust. 1</w:t>
      </w:r>
      <w:r>
        <w:rPr>
          <w:rFonts w:ascii="Times New Roman"/>
          <w:b w:val="false"/>
          <w:i w:val="false"/>
          <w:color w:val="000000"/>
          <w:sz w:val="24"/>
          <w:lang w:val="pl-PL"/>
        </w:rPr>
        <w:t xml:space="preserve"> ustawy z dnia 5 czerwca 1998 r. o samorządzie województwa (Dz. U. z 2025 r. poz. 581), wraz z zakresem planowanych działań;</w:t>
      </w:r>
    </w:p>
    <w:p>
      <w:pPr>
        <w:spacing w:before="26" w:after="0"/>
        <w:ind w:left="373"/>
        <w:jc w:val="left"/>
        <w:textAlignment w:val="auto"/>
      </w:pPr>
      <w:r>
        <w:rPr>
          <w:rFonts w:ascii="Times New Roman"/>
          <w:b w:val="false"/>
          <w:i w:val="false"/>
          <w:color w:val="000000"/>
          <w:sz w:val="24"/>
          <w:lang w:val="pl-PL"/>
        </w:rPr>
        <w:t>7)</w:t>
      </w:r>
      <w:r>
        <w:rPr>
          <w:rFonts w:ascii="Times New Roman"/>
          <w:b w:val="false"/>
          <w:i w:val="false"/>
          <w:color w:val="000000"/>
          <w:sz w:val="24"/>
          <w:lang w:val="pl-PL"/>
        </w:rPr>
        <w:t xml:space="preserve"> obszary strategicznej interwencji kluczowe dla gminy, jeżeli takie zidentyfikowano, wraz z zakresem planowanych działań;</w:t>
      </w:r>
    </w:p>
    <w:p>
      <w:pPr>
        <w:spacing w:before="26" w:after="0"/>
        <w:ind w:left="373"/>
        <w:jc w:val="left"/>
        <w:textAlignment w:val="auto"/>
      </w:pPr>
      <w:r>
        <w:rPr>
          <w:rFonts w:ascii="Times New Roman"/>
          <w:b w:val="false"/>
          <w:i w:val="false"/>
          <w:color w:val="000000"/>
          <w:sz w:val="24"/>
          <w:lang w:val="pl-PL"/>
        </w:rPr>
        <w:t>8)</w:t>
      </w:r>
      <w:r>
        <w:rPr>
          <w:rFonts w:ascii="Times New Roman"/>
          <w:b w:val="false"/>
          <w:i w:val="false"/>
          <w:color w:val="000000"/>
          <w:sz w:val="24"/>
          <w:lang w:val="pl-PL"/>
        </w:rPr>
        <w:t xml:space="preserve"> system realizacji strategii, w tym wytyczne do sporządzania dokumentów wykonawczych;</w:t>
      </w:r>
    </w:p>
    <w:p>
      <w:pPr>
        <w:spacing w:before="26" w:after="0"/>
        <w:ind w:left="373"/>
        <w:jc w:val="left"/>
        <w:textAlignment w:val="auto"/>
      </w:pPr>
      <w:r>
        <w:rPr>
          <w:rFonts w:ascii="Times New Roman"/>
          <w:b w:val="false"/>
          <w:i w:val="false"/>
          <w:color w:val="000000"/>
          <w:sz w:val="24"/>
          <w:lang w:val="pl-PL"/>
        </w:rPr>
        <w:t>9)</w:t>
      </w:r>
      <w:r>
        <w:rPr>
          <w:rFonts w:ascii="Times New Roman"/>
          <w:b w:val="false"/>
          <w:i w:val="false"/>
          <w:color w:val="000000"/>
          <w:sz w:val="24"/>
          <w:lang w:val="pl-PL"/>
        </w:rPr>
        <w:t xml:space="preserve"> ramy finansowe i źródła finansowania.</w:t>
      </w:r>
    </w:p>
    <w:p>
      <w:pPr>
        <w:spacing w:before="26" w:after="0"/>
        <w:ind w:left="0"/>
        <w:jc w:val="left"/>
        <w:textAlignment w:val="auto"/>
      </w:pPr>
      <w:r>
        <w:rPr>
          <w:rFonts w:ascii="Times New Roman"/>
          <w:b w:val="false"/>
          <w:i w:val="false"/>
          <w:color w:val="000000"/>
          <w:sz w:val="24"/>
          <w:lang w:val="pl-PL"/>
        </w:rPr>
        <w:t>4.</w:t>
      </w:r>
      <w:r>
        <w:rPr>
          <w:rFonts w:ascii="Times New Roman"/>
          <w:b w:val="false"/>
          <w:i w:val="false"/>
          <w:color w:val="000000"/>
          <w:sz w:val="24"/>
          <w:lang w:val="pl-PL"/>
        </w:rPr>
        <w:t> Strategię rozwoju gminy sporządza się w formie tekstowej oraz graficznej zawierającej zobrazowanie treści, o których mowa w szczególności w ust. 3 pkt 4-7.</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10f.</w:t>
      </w:r>
      <w:r>
        <w:rPr>
          <w:rFonts w:ascii="Times New Roman"/>
          <w:b/>
          <w:i w:val="false"/>
          <w:color w:val="000000"/>
          <w:sz w:val="24"/>
          <w:lang w:val="pl-PL"/>
        </w:rPr>
        <w:t xml:space="preserve"> [Opracowanie projektu, przyjęcie oraz aktualizacja strategii rozwoju gminy]</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xml:space="preserve"> Rada gminy, w drodze uchwały, określa szczegółowy tryb i harmonogram opracowania projektu strategii rozwoju gminy, w tym tryb konsultacji, o których mowa w </w:t>
      </w:r>
      <w:r>
        <w:rPr>
          <w:rFonts w:ascii="Times New Roman"/>
          <w:b w:val="false"/>
          <w:i w:val="false"/>
          <w:color w:val="1b1b1b"/>
          <w:sz w:val="24"/>
          <w:lang w:val="pl-PL"/>
        </w:rPr>
        <w:t>art. 6 ust. 3</w:t>
      </w:r>
      <w:r>
        <w:rPr>
          <w:rFonts w:ascii="Times New Roman"/>
          <w:b w:val="false"/>
          <w:i w:val="false"/>
          <w:color w:val="000000"/>
          <w:sz w:val="24"/>
          <w:lang w:val="pl-PL"/>
        </w:rPr>
        <w:t xml:space="preserve"> ustawy z dnia 6 grudnia 2006 r. o zasadach prowadzenia polityki rozwoju.</w:t>
      </w: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Projekt strategii rozwoju gminy opracowuje wójt oraz przedkłada go zarządowi województwa w celu wydania opinii dotyczącej sposobu uwzględnienia ustaleń i rekomendacji w zakresie kształtowania i prowadzenia polityki przestrzennej w województwie określonych w strategii rozwoju województwa.</w:t>
      </w:r>
    </w:p>
    <w:p>
      <w:pPr>
        <w:spacing w:before="26" w:after="0"/>
        <w:ind w:left="0"/>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Zarząd województwa wydaje opinię, o której mowa w ust. 2, w terminie 30 dni od dnia otrzymania projektu strategii rozwoju gminy. W przypadku braku opinii we wskazanym terminie uznaje się, że strategia rozwoju gminy jest spójna ze strategią rozwoju województwa.</w:t>
      </w:r>
    </w:p>
    <w:p>
      <w:pPr>
        <w:spacing w:before="26" w:after="0"/>
        <w:ind w:left="0"/>
        <w:jc w:val="left"/>
        <w:textAlignment w:val="auto"/>
      </w:pPr>
      <w:r>
        <w:rPr>
          <w:rFonts w:ascii="Times New Roman"/>
          <w:b w:val="false"/>
          <w:i w:val="false"/>
          <w:color w:val="000000"/>
          <w:sz w:val="24"/>
          <w:lang w:val="pl-PL"/>
        </w:rPr>
        <w:t>4.</w:t>
      </w:r>
      <w:r>
        <w:rPr>
          <w:rFonts w:ascii="Times New Roman"/>
          <w:b w:val="false"/>
          <w:i w:val="false"/>
          <w:color w:val="000000"/>
          <w:sz w:val="24"/>
          <w:lang w:val="pl-PL"/>
        </w:rPr>
        <w:t> Strategia rozwoju gminy jest przyjmowana przez radę gminy w drodze uchwały.</w:t>
      </w:r>
    </w:p>
    <w:p>
      <w:pPr>
        <w:spacing w:before="26" w:after="0"/>
        <w:ind w:left="0"/>
        <w:jc w:val="left"/>
        <w:textAlignment w:val="auto"/>
      </w:pPr>
      <w:r>
        <w:rPr>
          <w:rFonts w:ascii="Times New Roman"/>
          <w:b w:val="false"/>
          <w:i w:val="false"/>
          <w:color w:val="000000"/>
          <w:sz w:val="24"/>
          <w:lang w:val="pl-PL"/>
        </w:rPr>
        <w:t>5.</w:t>
      </w:r>
      <w:r>
        <w:rPr>
          <w:rFonts w:ascii="Times New Roman"/>
          <w:b w:val="false"/>
          <w:i w:val="false"/>
          <w:color w:val="000000"/>
          <w:sz w:val="24"/>
          <w:lang w:val="pl-PL"/>
        </w:rPr>
        <w:t> Strategia rozwoju gminy podlega aktualizacji, jeżeli wymaga tego sytuacja społeczna, gospodarcza, przestrzenna lub klimatyczno-środowiskowa gminy albo gdy jest to konieczne dla zachowania jej spójności ze strategią rozwoju ponadlokalnego lub strategią rozwoju województwa. Do aktualizacji strategii rozwoju gminy stosuje się ust. 1-4.</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10g.</w:t>
      </w:r>
      <w:r>
        <w:rPr>
          <w:rFonts w:ascii="Times New Roman"/>
          <w:b/>
          <w:i w:val="false"/>
          <w:color w:val="000000"/>
          <w:sz w:val="24"/>
          <w:lang w:val="pl-PL"/>
        </w:rPr>
        <w:t xml:space="preserve"> [Strategia rozwoju ponadlokalnego]</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Gminy sąsiadujące, powiązane ze sobą funkcjonalnie, mogą opracować strategię rozwoju ponadlokalnego będącą wspólną strategią rozwoju tych gmin w zakresie ich terytorium.</w:t>
      </w: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Strategia rozwoju ponadlokalnego:</w:t>
      </w:r>
    </w:p>
    <w:p>
      <w:pPr>
        <w:spacing w:before="26" w:after="0"/>
        <w:ind w:left="373"/>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xml:space="preserve"> jest opracowywana z udziałem powiatu, jeżeli w jej opracowywaniu uczestniczą wszystkie gminy z terytorium tego powiatu;</w:t>
      </w:r>
    </w:p>
    <w:p>
      <w:pPr>
        <w:spacing w:before="26" w:after="0"/>
        <w:ind w:left="373"/>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xml:space="preserve"> może być opracowywana z udziałem powiatu, jeżeli przynajmniej jedna gmina, o której mowa w ust. 1, znajduje się na jego terytorium.</w:t>
      </w:r>
    </w:p>
    <w:p>
      <w:pPr>
        <w:spacing w:before="26" w:after="0"/>
        <w:ind w:left="0"/>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Do strategii rozwoju ponadlokalnego przepisy art. 10e ust. 2-4 stosuje się odpowiednio.</w:t>
      </w:r>
    </w:p>
    <w:p>
      <w:pPr>
        <w:spacing w:before="26" w:after="0"/>
        <w:ind w:left="0"/>
        <w:jc w:val="left"/>
        <w:textAlignment w:val="auto"/>
      </w:pPr>
      <w:r>
        <w:rPr>
          <w:rFonts w:ascii="Times New Roman"/>
          <w:b w:val="false"/>
          <w:i w:val="false"/>
          <w:color w:val="000000"/>
          <w:sz w:val="24"/>
          <w:lang w:val="pl-PL"/>
        </w:rPr>
        <w:t>4.</w:t>
      </w:r>
      <w:r>
        <w:rPr>
          <w:rFonts w:ascii="Times New Roman"/>
          <w:b w:val="false"/>
          <w:i w:val="false"/>
          <w:color w:val="000000"/>
          <w:sz w:val="24"/>
          <w:lang w:val="pl-PL"/>
        </w:rPr>
        <w:t xml:space="preserve"> W celu przygotowania i realizacji strategii rozwoju ponadlokalnego jednostki samorządu terytorialnego mogą tworzyć w szczególności związek międzygminny, o którym mowa w art. 64, lub związek powiatowo-gminny, o którym mowa w </w:t>
      </w:r>
      <w:r>
        <w:rPr>
          <w:rFonts w:ascii="Times New Roman"/>
          <w:b w:val="false"/>
          <w:i w:val="false"/>
          <w:color w:val="1b1b1b"/>
          <w:sz w:val="24"/>
          <w:lang w:val="pl-PL"/>
        </w:rPr>
        <w:t>art. 72a</w:t>
      </w:r>
      <w:r>
        <w:rPr>
          <w:rFonts w:ascii="Times New Roman"/>
          <w:b w:val="false"/>
          <w:i w:val="false"/>
          <w:color w:val="000000"/>
          <w:sz w:val="24"/>
          <w:lang w:val="pl-PL"/>
        </w:rPr>
        <w:t xml:space="preserve"> ustawy z dnia 5 czerwca 1998 r. o samorządzie powiatowym (Dz. U. z 2024 r. poz. 107 i 1907), lub stowarzyszenie, o którym mowa w art. 84, lub zawierać porozumienie międzygminne, o którym mowa w art. 74.</w:t>
      </w:r>
    </w:p>
    <w:p>
      <w:pPr>
        <w:spacing w:before="26" w:after="0"/>
        <w:ind w:left="0"/>
        <w:jc w:val="left"/>
        <w:textAlignment w:val="auto"/>
      </w:pPr>
      <w:r>
        <w:rPr>
          <w:rFonts w:ascii="Times New Roman"/>
          <w:b w:val="false"/>
          <w:i w:val="false"/>
          <w:color w:val="000000"/>
          <w:sz w:val="24"/>
          <w:lang w:val="pl-PL"/>
        </w:rPr>
        <w:t>4a.</w:t>
      </w:r>
      <w:r>
        <w:rPr>
          <w:rFonts w:ascii="Times New Roman"/>
          <w:b w:val="false"/>
          <w:i w:val="false"/>
          <w:color w:val="000000"/>
          <w:sz w:val="24"/>
          <w:lang w:val="pl-PL"/>
        </w:rPr>
        <w:t xml:space="preserve"> Organ stanowiący związku międzygminnego albo stowarzyszenia, o którym mowa w art. 84, w drodze uchwały, określa szczegółowy tryb i harmonogram opracowania projektu strategii rozwoju ponadlokalnego, w tym tryb konsultacji, o których mowa w </w:t>
      </w:r>
      <w:r>
        <w:rPr>
          <w:rFonts w:ascii="Times New Roman"/>
          <w:b w:val="false"/>
          <w:i w:val="false"/>
          <w:color w:val="1b1b1b"/>
          <w:sz w:val="24"/>
          <w:lang w:val="pl-PL"/>
        </w:rPr>
        <w:t>art. 6 ust. 3</w:t>
      </w:r>
      <w:r>
        <w:rPr>
          <w:rFonts w:ascii="Times New Roman"/>
          <w:b w:val="false"/>
          <w:i w:val="false"/>
          <w:color w:val="000000"/>
          <w:sz w:val="24"/>
          <w:lang w:val="pl-PL"/>
        </w:rPr>
        <w:t xml:space="preserve"> ustawy z dnia 6 grudnia 2006 r. o zasadach prowadzenia polityki rozwoju.</w:t>
      </w:r>
    </w:p>
    <w:p>
      <w:pPr>
        <w:spacing w:before="26" w:after="0"/>
        <w:ind w:left="0"/>
        <w:jc w:val="left"/>
        <w:textAlignment w:val="auto"/>
      </w:pPr>
      <w:r>
        <w:rPr>
          <w:rFonts w:ascii="Times New Roman"/>
          <w:b w:val="false"/>
          <w:i w:val="false"/>
          <w:color w:val="000000"/>
          <w:sz w:val="24"/>
          <w:lang w:val="pl-PL"/>
        </w:rPr>
        <w:t>4b.</w:t>
      </w:r>
      <w:r>
        <w:rPr>
          <w:rFonts w:ascii="Times New Roman"/>
          <w:b w:val="false"/>
          <w:i w:val="false"/>
          <w:color w:val="000000"/>
          <w:sz w:val="24"/>
          <w:lang w:val="pl-PL"/>
        </w:rPr>
        <w:t xml:space="preserve"> W przypadku opracowywania strategii rozwoju ponadlokalnego przez porozumienie międzygminne, o którym mowa w art. 74, szczegółowy tryb i harmonogram opracowania projektu strategii rozwoju ponadlokalnego, w tym tryb konsultacji, o których mowa w </w:t>
      </w:r>
      <w:r>
        <w:rPr>
          <w:rFonts w:ascii="Times New Roman"/>
          <w:b w:val="false"/>
          <w:i w:val="false"/>
          <w:color w:val="1b1b1b"/>
          <w:sz w:val="24"/>
          <w:lang w:val="pl-PL"/>
        </w:rPr>
        <w:t>art. 6 ust. 3</w:t>
      </w:r>
      <w:r>
        <w:rPr>
          <w:rFonts w:ascii="Times New Roman"/>
          <w:b w:val="false"/>
          <w:i w:val="false"/>
          <w:color w:val="000000"/>
          <w:sz w:val="24"/>
          <w:lang w:val="pl-PL"/>
        </w:rPr>
        <w:t xml:space="preserve"> ustawy z dnia 6 grudnia 2006 r. o zasadach prowadzenia polityki rozwoju, jest przyjmowany przez organ stanowiący jednostki samorządu terytorialnego, której powierzono opracowanie projektu strategii rozwoju ponadlokalnego.</w:t>
      </w:r>
    </w:p>
    <w:p>
      <w:pPr>
        <w:spacing w:before="26" w:after="0"/>
        <w:ind w:left="0"/>
        <w:jc w:val="left"/>
        <w:textAlignment w:val="auto"/>
      </w:pPr>
      <w:r>
        <w:rPr>
          <w:rFonts w:ascii="Times New Roman"/>
          <w:b w:val="false"/>
          <w:i w:val="false"/>
          <w:color w:val="000000"/>
          <w:sz w:val="24"/>
          <w:lang w:val="pl-PL"/>
        </w:rPr>
        <w:t>5.</w:t>
      </w:r>
      <w:r>
        <w:rPr>
          <w:rFonts w:ascii="Times New Roman"/>
          <w:b w:val="false"/>
          <w:i w:val="false"/>
          <w:color w:val="000000"/>
          <w:sz w:val="24"/>
          <w:lang w:val="pl-PL"/>
        </w:rPr>
        <w:t> Projekt strategii rozwoju ponadlokalnego opracowuje odpowiednio wójt albo starosta wskazany w porozumieniu międzygminnym, organ wykonawczy związku międzygminnego albo stowarzyszenia oraz przedkłada go zarządowi województwa w celu wydania opinii dotyczącej sposobu uwzględnienia ustaleń i rekomendacji w zakresie kształtowania i prowadzenia polityki przestrzennej w województwie określonych w strategii rozwoju województwa.</w:t>
      </w:r>
    </w:p>
    <w:p>
      <w:pPr>
        <w:spacing w:before="26" w:after="0"/>
        <w:ind w:left="0"/>
        <w:jc w:val="left"/>
        <w:textAlignment w:val="auto"/>
      </w:pPr>
      <w:r>
        <w:rPr>
          <w:rFonts w:ascii="Times New Roman"/>
          <w:b w:val="false"/>
          <w:i w:val="false"/>
          <w:color w:val="000000"/>
          <w:sz w:val="24"/>
          <w:lang w:val="pl-PL"/>
        </w:rPr>
        <w:t>6.</w:t>
      </w:r>
      <w:r>
        <w:rPr>
          <w:rFonts w:ascii="Times New Roman"/>
          <w:b w:val="false"/>
          <w:i w:val="false"/>
          <w:color w:val="000000"/>
          <w:sz w:val="24"/>
          <w:lang w:val="pl-PL"/>
        </w:rPr>
        <w:t> Zarząd województwa wydaje opinię, o której mowa w ust. 5, w terminie 30 dni od dnia otrzymania projektu strategii rozwoju ponadlokalnego. W przypadku braku opinii we wskazanym terminie uznaje się, że strategia rozwoju ponadlokalnego jest spójna ze strategią rozwoju województwa.</w:t>
      </w:r>
    </w:p>
    <w:p>
      <w:pPr>
        <w:spacing w:before="26" w:after="0"/>
        <w:ind w:left="0"/>
        <w:jc w:val="left"/>
        <w:textAlignment w:val="auto"/>
      </w:pPr>
      <w:r>
        <w:rPr>
          <w:rFonts w:ascii="Times New Roman"/>
          <w:b w:val="false"/>
          <w:i w:val="false"/>
          <w:color w:val="000000"/>
          <w:sz w:val="24"/>
          <w:lang w:val="pl-PL"/>
        </w:rPr>
        <w:t>7.</w:t>
      </w:r>
      <w:r>
        <w:rPr>
          <w:rFonts w:ascii="Times New Roman"/>
          <w:b w:val="false"/>
          <w:i w:val="false"/>
          <w:color w:val="000000"/>
          <w:sz w:val="24"/>
          <w:lang w:val="pl-PL"/>
        </w:rPr>
        <w:t> Strategia rozwoju ponadlokalnego jest przyjmowana przez organ stanowiący związku międzygminnego albo stowarzyszenia, w drodze uchwały.</w:t>
      </w:r>
    </w:p>
    <w:p>
      <w:pPr>
        <w:spacing w:before="26" w:after="0"/>
        <w:ind w:left="0"/>
        <w:jc w:val="left"/>
        <w:textAlignment w:val="auto"/>
      </w:pPr>
      <w:r>
        <w:rPr>
          <w:rFonts w:ascii="Times New Roman"/>
          <w:b w:val="false"/>
          <w:i w:val="false"/>
          <w:color w:val="000000"/>
          <w:sz w:val="24"/>
          <w:lang w:val="pl-PL"/>
        </w:rPr>
        <w:t>8.</w:t>
      </w:r>
      <w:r>
        <w:rPr>
          <w:rFonts w:ascii="Times New Roman"/>
          <w:b w:val="false"/>
          <w:i w:val="false"/>
          <w:color w:val="000000"/>
          <w:sz w:val="24"/>
          <w:lang w:val="pl-PL"/>
        </w:rPr>
        <w:t> Strategia rozwoju ponadlokalnego opracowana przez porozumienie międzygminne jest przyjmowana przez właściwe rady gmin i obowiązuje od dnia jej przyjęcia przez ostatnią radę gminy. Strategia rozwoju ponadlokalnego opracowana z udziałem powiatu jest przyjmowana również przez radę powiatu i obowiązuje od dnia jej przyjęcia przez ostatnią radę gminy lub powiatu.</w:t>
      </w:r>
    </w:p>
    <w:p>
      <w:pPr>
        <w:spacing w:before="26" w:after="0"/>
        <w:ind w:left="0"/>
        <w:jc w:val="left"/>
        <w:textAlignment w:val="auto"/>
      </w:pPr>
      <w:r>
        <w:rPr>
          <w:rFonts w:ascii="Times New Roman"/>
          <w:b w:val="false"/>
          <w:i w:val="false"/>
          <w:color w:val="000000"/>
          <w:sz w:val="24"/>
          <w:lang w:val="pl-PL"/>
        </w:rPr>
        <w:t>9.</w:t>
      </w:r>
      <w:r>
        <w:rPr>
          <w:rFonts w:ascii="Times New Roman"/>
          <w:b w:val="false"/>
          <w:i w:val="false"/>
          <w:color w:val="000000"/>
          <w:sz w:val="24"/>
          <w:lang w:val="pl-PL"/>
        </w:rPr>
        <w:t> Strategia rozwoju ponadlokalnego podlega aktualizacji, jeżeli wymaga tego sytuacja społeczna, gospodarcza, przestrzenna lub klimatyczno-środowiskowa obszaru objętego tą strategią albo gdy jest to konieczne dla zachowania jej spójności ze strategią rozwoju województwa. Do aktualizacji strategii rozwoju ponadlokalnego stosuje się ust. 4a-8 oraz art. 10e ust. 2-4.</w:t>
      </w:r>
    </w:p>
    <w:p>
      <w:pPr>
        <w:spacing w:after="0"/>
        <w:ind w:left="0"/>
        <w:jc w:val="left"/>
        <w:textAlignment w:val="auto"/>
      </w:pPr>
    </w:p>
    <w:p>
      <w:pPr>
        <w:spacing w:before="89" w:after="0"/>
        <w:ind w:left="0"/>
        <w:jc w:val="center"/>
        <w:textAlignment w:val="auto"/>
      </w:pPr>
      <w:r>
        <w:rPr>
          <w:rFonts w:ascii="Times New Roman"/>
          <w:b/>
          <w:i w:val="false"/>
          <w:color w:val="000000"/>
          <w:sz w:val="24"/>
          <w:lang w:val="pl-PL"/>
        </w:rPr>
        <w:t>Rozdział  3</w:t>
      </w:r>
    </w:p>
    <w:p>
      <w:pPr>
        <w:spacing w:before="25" w:after="0"/>
        <w:ind w:left="0"/>
        <w:jc w:val="center"/>
        <w:textAlignment w:val="auto"/>
      </w:pPr>
      <w:r>
        <w:rPr>
          <w:rFonts w:ascii="Times New Roman"/>
          <w:b/>
          <w:i w:val="false"/>
          <w:color w:val="000000"/>
          <w:sz w:val="24"/>
          <w:lang w:val="pl-PL"/>
        </w:rPr>
        <w:t>Władze gminy</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11.</w:t>
      </w:r>
      <w:r>
        <w:rPr>
          <w:rFonts w:ascii="Times New Roman"/>
          <w:b/>
          <w:i w:val="false"/>
          <w:color w:val="000000"/>
          <w:sz w:val="24"/>
          <w:lang w:val="pl-PL"/>
        </w:rPr>
        <w:t xml:space="preserve"> [Formy podejmowania rozstrzygnięć przez mieszkańców gminy]</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Mieszkańcy gminy podejmują rozstrzygnięcia w głosowaniu powszechnym (poprzez wybory i referendum) lub za pośrednictwem organów gminy.</w:t>
      </w: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(uchylony).</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11a.</w:t>
      </w:r>
      <w:r>
        <w:rPr>
          <w:rFonts w:ascii="Times New Roman"/>
          <w:b/>
          <w:i w:val="false"/>
          <w:color w:val="000000"/>
          <w:sz w:val="24"/>
          <w:lang w:val="pl-PL"/>
        </w:rPr>
        <w:t xml:space="preserve"> [Organy gminy]</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Organami gminy są:</w:t>
      </w:r>
    </w:p>
    <w:p>
      <w:pPr>
        <w:spacing w:before="26" w:after="0"/>
        <w:ind w:left="373"/>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xml:space="preserve"> rada gminy;</w:t>
      </w:r>
    </w:p>
    <w:p>
      <w:pPr>
        <w:spacing w:before="26" w:after="0"/>
        <w:ind w:left="373"/>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xml:space="preserve"> wójt (burmistrz, prezydent miasta).</w:t>
      </w:r>
    </w:p>
    <w:p>
      <w:pPr>
        <w:spacing w:after="0"/>
        <w:ind w:left="0"/>
        <w:jc w:val="left"/>
        <w:textAlignment w:val="auto"/>
      </w:pP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xml:space="preserve"> Zasady i tryb przeprowadzania wyborów do rady gminy oraz wyboru wójta (burmistrza, prezydenta miasta) określają odrębne </w:t>
      </w:r>
      <w:r>
        <w:rPr>
          <w:rFonts w:ascii="Times New Roman"/>
          <w:b w:val="false"/>
          <w:i w:val="false"/>
          <w:color w:val="1b1b1b"/>
          <w:sz w:val="24"/>
          <w:lang w:val="pl-PL"/>
        </w:rPr>
        <w:t>ustawy</w:t>
      </w:r>
      <w:r>
        <w:rPr>
          <w:rFonts w:ascii="Times New Roman"/>
          <w:b w:val="false"/>
          <w:i w:val="false"/>
          <w:color w:val="000000"/>
          <w:sz w:val="24"/>
          <w:lang w:val="pl-PL"/>
        </w:rPr>
        <w:t>.</w:t>
      </w:r>
    </w:p>
    <w:p>
      <w:pPr>
        <w:spacing w:before="26" w:after="0"/>
        <w:ind w:left="0"/>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Ilekroć w ustawie jest mowa o wójcie, należy przez to rozumieć także burmistrza oraz prezydenta miasta.</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11b.</w:t>
      </w:r>
      <w:r>
        <w:rPr>
          <w:rFonts w:ascii="Times New Roman"/>
          <w:b/>
          <w:i w:val="false"/>
          <w:color w:val="000000"/>
          <w:sz w:val="24"/>
          <w:lang w:val="pl-PL"/>
        </w:rPr>
        <w:t xml:space="preserve"> [Jawność działania organów gminy]</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xml:space="preserve"> Działalność organów gminy jest jawna. Ograniczenia jawności mogą wynikać wyłącznie z </w:t>
      </w:r>
      <w:r>
        <w:rPr>
          <w:rFonts w:ascii="Times New Roman"/>
          <w:b w:val="false"/>
          <w:i w:val="false"/>
          <w:color w:val="1b1b1b"/>
          <w:sz w:val="24"/>
          <w:lang w:val="pl-PL"/>
        </w:rPr>
        <w:t>ustaw</w:t>
      </w:r>
      <w:r>
        <w:rPr>
          <w:rFonts w:ascii="Times New Roman"/>
          <w:b w:val="false"/>
          <w:i w:val="false"/>
          <w:color w:val="000000"/>
          <w:sz w:val="24"/>
          <w:lang w:val="pl-PL"/>
        </w:rPr>
        <w:t>.</w:t>
      </w: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Jawność działania organów gminy obejmuje w szczególności prawo obywateli do uzyskiwania informacji, wstępu na sesje rady gminy i posiedzenia jej komisji, a także dostępu do dokumentów wynikających z wykonywania zadań publicznych, w tym protokołów posiedzeń organów gminy i komisji rady gminy.</w:t>
      </w:r>
    </w:p>
    <w:p>
      <w:pPr>
        <w:spacing w:before="26" w:after="0"/>
        <w:ind w:left="0"/>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Zasady dostępu do dokumentów i korzystania z nich określa statut gminy.</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12.</w:t>
      </w:r>
      <w:r>
        <w:rPr>
          <w:rFonts w:ascii="Times New Roman"/>
          <w:b/>
          <w:i w:val="false"/>
          <w:color w:val="000000"/>
          <w:sz w:val="24"/>
          <w:lang w:val="pl-PL"/>
        </w:rPr>
        <w:t xml:space="preserve"> [Referendum gminne]</w:t>
      </w:r>
    </w:p>
    <w:p>
      <w:pPr>
        <w:spacing w:after="0"/>
        <w:ind w:left="0"/>
        <w:jc w:val="left"/>
        <w:textAlignment w:val="auto"/>
      </w:pPr>
      <w:r>
        <w:rPr>
          <w:rFonts w:ascii="Times New Roman"/>
          <w:b w:val="false"/>
          <w:i w:val="false"/>
          <w:color w:val="000000"/>
          <w:sz w:val="24"/>
          <w:lang w:val="pl-PL"/>
        </w:rPr>
        <w:t xml:space="preserve"> Zasady i tryb przeprowadzania referendum gminnego określa odrębna </w:t>
      </w:r>
      <w:r>
        <w:rPr>
          <w:rFonts w:ascii="Times New Roman"/>
          <w:b w:val="false"/>
          <w:i w:val="false"/>
          <w:color w:val="1b1b1b"/>
          <w:sz w:val="24"/>
          <w:lang w:val="pl-PL"/>
        </w:rPr>
        <w:t>ustawa</w:t>
      </w:r>
      <w:r>
        <w:rPr>
          <w:rFonts w:ascii="Times New Roman"/>
          <w:b w:val="false"/>
          <w:i w:val="false"/>
          <w:color w:val="000000"/>
          <w:sz w:val="24"/>
          <w:lang w:val="pl-PL"/>
        </w:rPr>
        <w:t>.</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13.</w:t>
      </w:r>
    </w:p>
    <w:p>
      <w:pPr>
        <w:spacing w:after="0"/>
        <w:ind w:left="0"/>
        <w:jc w:val="left"/>
        <w:textAlignment w:val="auto"/>
      </w:pPr>
      <w:r>
        <w:rPr>
          <w:rFonts w:ascii="Times New Roman"/>
          <w:b w:val="false"/>
          <w:i w:val="false"/>
          <w:color w:val="000000"/>
          <w:sz w:val="24"/>
          <w:lang w:val="pl-PL"/>
        </w:rPr>
        <w:t> (uchylony).</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14.</w:t>
      </w:r>
      <w:r>
        <w:rPr>
          <w:rFonts w:ascii="Times New Roman"/>
          <w:b/>
          <w:i w:val="false"/>
          <w:color w:val="000000"/>
          <w:sz w:val="24"/>
          <w:lang w:val="pl-PL"/>
        </w:rPr>
        <w:t xml:space="preserve"> [Podejmowanie uchwał przez radę gminy]</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Uchwały rady gminy zapadają zwykłą większością głosów w obecności co najmniej połowy ustawowego składu rady, w głosowaniu jawnym, chyba że ustawa stanowi inaczej.</w:t>
      </w: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Głosowania jawne na sesjach rady odbywają się za pomocą urządzeń umożliwiających sporządzenie i utrwalenie imiennego wykazu głosowań radnych.</w:t>
      </w:r>
    </w:p>
    <w:p>
      <w:pPr>
        <w:spacing w:before="26" w:after="0"/>
        <w:ind w:left="0"/>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W przypadku gdy przeprowadzenie głosowania w sposób określony w ust. 2 nie jest możliwe z przyczyn technicznych przeprowadza się głosowanie imienne.</w:t>
      </w:r>
    </w:p>
    <w:p>
      <w:pPr>
        <w:spacing w:before="26" w:after="0"/>
        <w:ind w:left="0"/>
        <w:jc w:val="left"/>
        <w:textAlignment w:val="auto"/>
      </w:pPr>
      <w:r>
        <w:rPr>
          <w:rFonts w:ascii="Times New Roman"/>
          <w:b w:val="false"/>
          <w:i w:val="false"/>
          <w:color w:val="000000"/>
          <w:sz w:val="24"/>
          <w:lang w:val="pl-PL"/>
        </w:rPr>
        <w:t>4.</w:t>
      </w:r>
      <w:r>
        <w:rPr>
          <w:rFonts w:ascii="Times New Roman"/>
          <w:b w:val="false"/>
          <w:i w:val="false"/>
          <w:color w:val="000000"/>
          <w:sz w:val="24"/>
          <w:lang w:val="pl-PL"/>
        </w:rPr>
        <w:t> Imienne wykazy głosowań radnych podaje się niezwłocznie do publicznej wiadomości w Biuletynie Informacji Publicznej i na stronie internetowej gminy oraz w inny sposób zwyczajowo przyjęty na obszarze gminy.</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15.</w:t>
      </w:r>
      <w:r>
        <w:rPr>
          <w:rFonts w:ascii="Times New Roman"/>
          <w:b/>
          <w:i w:val="false"/>
          <w:color w:val="000000"/>
          <w:sz w:val="24"/>
          <w:lang w:val="pl-PL"/>
        </w:rPr>
        <w:t xml:space="preserve"> [Rada gminy (miejska) jako organ stanowiący i kontrolny]</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Z zastrzeżeniem art. 12 organem stanowiącym i kontrolnym w gminie jest rada gminy.</w:t>
      </w: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Jeżeli siedziba rady gminy znajduje się w mieście położonym na terytorium tej gminy, rada nosi nazwę rady miejskiej.</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16.</w:t>
      </w:r>
      <w:r>
        <w:rPr>
          <w:rFonts w:ascii="Times New Roman"/>
          <w:b/>
          <w:i w:val="false"/>
          <w:color w:val="000000"/>
          <w:sz w:val="24"/>
          <w:lang w:val="pl-PL"/>
        </w:rPr>
        <w:t xml:space="preserve"> [Kadencja rady gminy]</w:t>
      </w:r>
    </w:p>
    <w:p>
      <w:pPr>
        <w:spacing w:after="0"/>
        <w:ind w:left="0"/>
        <w:jc w:val="left"/>
        <w:textAlignment w:val="auto"/>
      </w:pPr>
      <w:r>
        <w:rPr>
          <w:rFonts w:ascii="Times New Roman"/>
          <w:b w:val="false"/>
          <w:i w:val="false"/>
          <w:color w:val="000000"/>
          <w:sz w:val="24"/>
          <w:lang w:val="pl-PL"/>
        </w:rPr>
        <w:t xml:space="preserve"> </w:t>
      </w:r>
      <w:r>
        <w:rPr>
          <w:rFonts w:ascii="Times New Roman"/>
          <w:b/>
          <w:i w:val="false"/>
          <w:color w:val="000000"/>
          <w:sz w:val="24"/>
          <w:lang w:val="pl-PL"/>
        </w:rPr>
        <w:t> </w:t>
      </w:r>
      <w:r>
        <w:rPr>
          <w:rFonts w:ascii="Times New Roman"/>
          <w:b w:val="false"/>
          <w:i w:val="false"/>
          <w:color w:val="000000"/>
          <w:sz w:val="24"/>
          <w:lang w:val="pl-PL"/>
        </w:rPr>
        <w:t>Kadencja rady gminy trwa 5 lat licząc od dnia wyboru.</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17.</w:t>
      </w:r>
      <w:r>
        <w:rPr>
          <w:rFonts w:ascii="Times New Roman"/>
          <w:b/>
          <w:i w:val="false"/>
          <w:color w:val="000000"/>
          <w:sz w:val="24"/>
          <w:lang w:val="pl-PL"/>
        </w:rPr>
        <w:t xml:space="preserve"> [Liczbowy skład rady gminy]</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W skład rady wchodzą radni w liczbie:</w:t>
      </w:r>
    </w:p>
    <w:p>
      <w:pPr>
        <w:spacing w:before="26" w:after="0"/>
        <w:ind w:left="373"/>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xml:space="preserve"> piętnastu w gminach do 20 000 mieszkańców;</w:t>
      </w:r>
    </w:p>
    <w:p>
      <w:pPr>
        <w:spacing w:before="26" w:after="0"/>
        <w:ind w:left="373"/>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xml:space="preserve"> dwudziestu jeden w gminach do 50 000 mieszkańców;</w:t>
      </w:r>
    </w:p>
    <w:p>
      <w:pPr>
        <w:spacing w:before="26" w:after="0"/>
        <w:ind w:left="373"/>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xml:space="preserve"> dwudziestu trzech w gminach do 100 000 mieszkańców;</w:t>
      </w:r>
    </w:p>
    <w:p>
      <w:pPr>
        <w:spacing w:before="26" w:after="0"/>
        <w:ind w:left="373"/>
        <w:jc w:val="left"/>
        <w:textAlignment w:val="auto"/>
      </w:pPr>
      <w:r>
        <w:rPr>
          <w:rFonts w:ascii="Times New Roman"/>
          <w:b w:val="false"/>
          <w:i w:val="false"/>
          <w:color w:val="000000"/>
          <w:sz w:val="24"/>
          <w:lang w:val="pl-PL"/>
        </w:rPr>
        <w:t>4)</w:t>
      </w:r>
      <w:r>
        <w:rPr>
          <w:rFonts w:ascii="Times New Roman"/>
          <w:b w:val="false"/>
          <w:i w:val="false"/>
          <w:color w:val="000000"/>
          <w:sz w:val="24"/>
          <w:lang w:val="pl-PL"/>
        </w:rPr>
        <w:t xml:space="preserve"> dwudziestu pięciu w gminach do 200 000 mieszkańców oraz po trzech na każde dalsze rozpoczęte 100 000 mieszkańców, nie więcej jednak niż czterdziestu pięciu radnych.</w:t>
      </w:r>
    </w:p>
    <w:p>
      <w:pPr>
        <w:spacing w:after="0"/>
        <w:ind w:left="0"/>
        <w:jc w:val="left"/>
        <w:textAlignment w:val="auto"/>
      </w:pP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W skład rady gminy powstałej w wyniku połączenia gmin, w pierwszej kadencji wchodzą radni w liczbie:</w:t>
      </w:r>
    </w:p>
    <w:p>
      <w:pPr>
        <w:spacing w:before="26" w:after="0"/>
        <w:ind w:left="373"/>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xml:space="preserve"> dwudziestu jeden w gminach do 20 000 mieszkańców;</w:t>
      </w:r>
    </w:p>
    <w:p>
      <w:pPr>
        <w:spacing w:before="26" w:after="0"/>
        <w:ind w:left="373"/>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xml:space="preserve"> dwudziestu trzech w gminach do 50 000 mieszkańców;</w:t>
      </w:r>
    </w:p>
    <w:p>
      <w:pPr>
        <w:spacing w:before="26" w:after="0"/>
        <w:ind w:left="373"/>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xml:space="preserve"> dwudziestu pięciu w gminach do 100 000 mieszkańców oraz po trzech na każde dalsze rozpoczęte 100 000 mieszkańców, nie więcej jednak niż czterdziestu ośmiu radnych.</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18.</w:t>
      </w:r>
      <w:r>
        <w:rPr>
          <w:rFonts w:ascii="Times New Roman"/>
          <w:b/>
          <w:i w:val="false"/>
          <w:color w:val="000000"/>
          <w:sz w:val="24"/>
          <w:lang w:val="pl-PL"/>
        </w:rPr>
        <w:t xml:space="preserve"> [Zakres właściwości rady gminy]</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Do właściwości rady gminy należą wszystkie sprawy pozostające w zakresie działania gminy, o ile ustawy nie stanowią inaczej.</w:t>
      </w: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Do wyłącznej właściwości rady gminy należy:</w:t>
      </w:r>
    </w:p>
    <w:p>
      <w:pPr>
        <w:spacing w:before="26" w:after="0"/>
        <w:ind w:left="373"/>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xml:space="preserve"> uchwalanie statutu gminy;</w:t>
      </w:r>
    </w:p>
    <w:p>
      <w:pPr>
        <w:spacing w:before="26" w:after="0"/>
        <w:ind w:left="373"/>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xml:space="preserve"> ustalanie wynagrodzenia wójta, stanowienie o kierunkach jego działania oraz przyjmowanie sprawozdań z jego działalności;</w:t>
      </w:r>
    </w:p>
    <w:p>
      <w:pPr>
        <w:spacing w:before="26" w:after="0"/>
        <w:ind w:left="373"/>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xml:space="preserve"> powoływanie i odwoływanie skarbnika gminy, który jest głównym księgowym budżetu - na wniosek wójta;</w:t>
      </w:r>
    </w:p>
    <w:p>
      <w:pPr>
        <w:spacing w:before="26" w:after="0"/>
        <w:ind w:left="373"/>
        <w:jc w:val="left"/>
        <w:textAlignment w:val="auto"/>
      </w:pPr>
      <w:r>
        <w:rPr>
          <w:rFonts w:ascii="Times New Roman"/>
          <w:b w:val="false"/>
          <w:i w:val="false"/>
          <w:color w:val="000000"/>
          <w:sz w:val="24"/>
          <w:lang w:val="pl-PL"/>
        </w:rPr>
        <w:t>4)</w:t>
      </w:r>
      <w:r>
        <w:rPr>
          <w:rFonts w:ascii="Times New Roman"/>
          <w:b w:val="false"/>
          <w:i w:val="false"/>
          <w:color w:val="000000"/>
          <w:sz w:val="24"/>
          <w:lang w:val="pl-PL"/>
        </w:rPr>
        <w:t xml:space="preserve"> uchwalanie budżetu gminy, rozpatrywanie sprawozdania z wykonania budżetu oraz podejmowanie uchwały w sprawie udzielenia lub nieudzielenia absolutorium z tego tytułu;</w:t>
      </w:r>
    </w:p>
    <w:p>
      <w:pPr>
        <w:spacing w:before="26" w:after="0"/>
        <w:ind w:left="373"/>
        <w:jc w:val="left"/>
        <w:textAlignment w:val="auto"/>
      </w:pPr>
      <w:r>
        <w:rPr>
          <w:rFonts w:ascii="Times New Roman"/>
          <w:b w:val="false"/>
          <w:i w:val="false"/>
          <w:color w:val="000000"/>
          <w:sz w:val="24"/>
          <w:lang w:val="pl-PL"/>
        </w:rPr>
        <w:t>4a)</w:t>
      </w:r>
      <w:r>
        <w:rPr>
          <w:rFonts w:ascii="Times New Roman"/>
          <w:b w:val="false"/>
          <w:i w:val="false"/>
          <w:color w:val="000000"/>
          <w:sz w:val="24"/>
          <w:lang w:val="pl-PL"/>
        </w:rPr>
        <w:t xml:space="preserve"> rozpatrywanie raportu o stanie gminy oraz podejmowanie uchwały w sprawie udzielenia lub nieudzielenia wotum zaufania z tego tytułu;</w:t>
      </w:r>
    </w:p>
    <w:p>
      <w:pPr>
        <w:spacing w:before="26" w:after="0"/>
        <w:ind w:left="373"/>
        <w:jc w:val="left"/>
        <w:textAlignment w:val="auto"/>
      </w:pPr>
      <w:r>
        <w:rPr>
          <w:rFonts w:ascii="Times New Roman"/>
          <w:b w:val="false"/>
          <w:i w:val="false"/>
          <w:color w:val="000000"/>
          <w:sz w:val="24"/>
          <w:lang w:val="pl-PL"/>
        </w:rPr>
        <w:t>5)</w:t>
      </w:r>
      <w:r>
        <w:rPr>
          <w:rFonts w:ascii="Times New Roman"/>
          <w:b w:val="false"/>
          <w:i w:val="false"/>
          <w:color w:val="000000"/>
          <w:sz w:val="24"/>
          <w:lang w:val="pl-PL"/>
        </w:rPr>
        <w:t xml:space="preserve"> uchwalanie planu ogólnego gminy oraz miejscowych planów zagospodarowania przestrzennego;</w:t>
      </w:r>
    </w:p>
    <w:p>
      <w:pPr>
        <w:spacing w:before="26" w:after="0"/>
        <w:ind w:left="373"/>
        <w:jc w:val="left"/>
        <w:textAlignment w:val="auto"/>
      </w:pPr>
      <w:r>
        <w:rPr>
          <w:rFonts w:ascii="Times New Roman"/>
          <w:b w:val="false"/>
          <w:i w:val="false"/>
          <w:color w:val="000000"/>
          <w:sz w:val="24"/>
          <w:lang w:val="pl-PL"/>
        </w:rPr>
        <w:t>6)</w:t>
      </w:r>
      <w:r>
        <w:rPr>
          <w:rFonts w:ascii="Times New Roman"/>
          <w:b w:val="false"/>
          <w:i w:val="false"/>
          <w:color w:val="000000"/>
          <w:sz w:val="24"/>
          <w:lang w:val="pl-PL"/>
        </w:rPr>
        <w:t xml:space="preserve"> uchwalanie programów gospodarczych;</w:t>
      </w:r>
    </w:p>
    <w:p>
      <w:pPr>
        <w:spacing w:before="26" w:after="0"/>
        <w:ind w:left="373"/>
        <w:jc w:val="left"/>
        <w:textAlignment w:val="auto"/>
      </w:pPr>
      <w:r>
        <w:rPr>
          <w:rFonts w:ascii="Times New Roman"/>
          <w:b w:val="false"/>
          <w:i w:val="false"/>
          <w:color w:val="000000"/>
          <w:sz w:val="24"/>
          <w:lang w:val="pl-PL"/>
        </w:rPr>
        <w:t>6a)</w:t>
      </w:r>
      <w:r>
        <w:rPr>
          <w:rFonts w:ascii="Times New Roman"/>
          <w:b w:val="false"/>
          <w:i w:val="false"/>
          <w:color w:val="000000"/>
          <w:sz w:val="24"/>
          <w:lang w:val="pl-PL"/>
        </w:rPr>
        <w:t xml:space="preserve"> przyjmowanie programów rozwoju w trybie określonym w </w:t>
      </w:r>
      <w:r>
        <w:rPr>
          <w:rFonts w:ascii="Times New Roman"/>
          <w:b w:val="false"/>
          <w:i w:val="false"/>
          <w:color w:val="1b1b1b"/>
          <w:sz w:val="24"/>
          <w:lang w:val="pl-PL"/>
        </w:rPr>
        <w:t>przepisach</w:t>
      </w:r>
      <w:r>
        <w:rPr>
          <w:rFonts w:ascii="Times New Roman"/>
          <w:b w:val="false"/>
          <w:i w:val="false"/>
          <w:color w:val="000000"/>
          <w:sz w:val="24"/>
          <w:lang w:val="pl-PL"/>
        </w:rPr>
        <w:t xml:space="preserve"> o zasadach prowadzenia polityki rozwoju;</w:t>
      </w:r>
    </w:p>
    <w:p>
      <w:pPr>
        <w:spacing w:before="26" w:after="0"/>
        <w:ind w:left="373"/>
        <w:jc w:val="left"/>
        <w:textAlignment w:val="auto"/>
      </w:pPr>
      <w:r>
        <w:rPr>
          <w:rFonts w:ascii="Times New Roman"/>
          <w:b w:val="false"/>
          <w:i w:val="false"/>
          <w:color w:val="000000"/>
          <w:sz w:val="24"/>
          <w:lang w:val="pl-PL"/>
        </w:rPr>
        <w:t>7)</w:t>
      </w:r>
      <w:r>
        <w:rPr>
          <w:rFonts w:ascii="Times New Roman"/>
          <w:b w:val="false"/>
          <w:i w:val="false"/>
          <w:color w:val="000000"/>
          <w:sz w:val="24"/>
          <w:lang w:val="pl-PL"/>
        </w:rPr>
        <w:t xml:space="preserve"> ustalanie zakresu działania jednostek pomocniczych, zasad przekazywania im składników mienia do korzystania oraz zasad przekazywania środków budżetowych na realizację zadań przez te jednostki;</w:t>
      </w:r>
    </w:p>
    <w:p>
      <w:pPr>
        <w:spacing w:before="26" w:after="0"/>
        <w:ind w:left="373"/>
        <w:jc w:val="left"/>
        <w:textAlignment w:val="auto"/>
      </w:pPr>
      <w:r>
        <w:rPr>
          <w:rFonts w:ascii="Times New Roman"/>
          <w:b w:val="false"/>
          <w:i w:val="false"/>
          <w:color w:val="000000"/>
          <w:sz w:val="24"/>
          <w:lang w:val="pl-PL"/>
        </w:rPr>
        <w:t>8)</w:t>
      </w:r>
      <w:r>
        <w:rPr>
          <w:rFonts w:ascii="Times New Roman"/>
          <w:b w:val="false"/>
          <w:i w:val="false"/>
          <w:color w:val="000000"/>
          <w:sz w:val="24"/>
          <w:lang w:val="pl-PL"/>
        </w:rPr>
        <w:t xml:space="preserve"> podejmowanie uchwał w sprawach podatków i opłat w granicach określonych w odrębnych </w:t>
      </w:r>
      <w:r>
        <w:rPr>
          <w:rFonts w:ascii="Times New Roman"/>
          <w:b w:val="false"/>
          <w:i w:val="false"/>
          <w:color w:val="1b1b1b"/>
          <w:sz w:val="24"/>
          <w:lang w:val="pl-PL"/>
        </w:rPr>
        <w:t>ustawach</w:t>
      </w:r>
      <w:r>
        <w:rPr>
          <w:rFonts w:ascii="Times New Roman"/>
          <w:b w:val="false"/>
          <w:i w:val="false"/>
          <w:color w:val="000000"/>
          <w:sz w:val="24"/>
          <w:lang w:val="pl-PL"/>
        </w:rPr>
        <w:t>;</w:t>
      </w:r>
    </w:p>
    <w:p>
      <w:pPr>
        <w:spacing w:before="26" w:after="0"/>
        <w:ind w:left="373"/>
        <w:jc w:val="left"/>
        <w:textAlignment w:val="auto"/>
      </w:pPr>
      <w:r>
        <w:rPr>
          <w:rFonts w:ascii="Times New Roman"/>
          <w:b w:val="false"/>
          <w:i w:val="false"/>
          <w:color w:val="000000"/>
          <w:sz w:val="24"/>
          <w:lang w:val="pl-PL"/>
        </w:rPr>
        <w:t>9)</w:t>
      </w:r>
      <w:r>
        <w:rPr>
          <w:rFonts w:ascii="Times New Roman"/>
          <w:b w:val="false"/>
          <w:i w:val="false"/>
          <w:color w:val="000000"/>
          <w:sz w:val="24"/>
          <w:lang w:val="pl-PL"/>
        </w:rPr>
        <w:t xml:space="preserve"> podejmowanie uchwał w sprawach majątkowych gminy, przekraczających zakres zwykłego zarządu, dotyczących:</w:t>
      </w:r>
    </w:p>
    <w:p>
      <w:pPr>
        <w:spacing w:after="0"/>
        <w:ind w:left="746"/>
        <w:jc w:val="left"/>
        <w:textAlignment w:val="auto"/>
      </w:pPr>
      <w:r>
        <w:rPr>
          <w:rFonts w:ascii="Times New Roman"/>
          <w:b w:val="false"/>
          <w:i w:val="false"/>
          <w:color w:val="000000"/>
          <w:sz w:val="24"/>
          <w:lang w:val="pl-PL"/>
        </w:rPr>
        <w:t>a)</w:t>
      </w:r>
      <w:r>
        <w:rPr>
          <w:rFonts w:ascii="Times New Roman"/>
          <w:b w:val="false"/>
          <w:i w:val="false"/>
          <w:color w:val="000000"/>
          <w:sz w:val="24"/>
          <w:lang w:val="pl-PL"/>
        </w:rPr>
        <w:t xml:space="preserve"> zasad nabywania, zbywania i obciążania nieruchomości oraz ich wydzierżawiania lub wynajmowania na czas oznaczony dłuższy niż 3 lata lub na czas nieoznaczony, o ile </w:t>
      </w:r>
      <w:r>
        <w:rPr>
          <w:rFonts w:ascii="Times New Roman"/>
          <w:b w:val="false"/>
          <w:i w:val="false"/>
          <w:color w:val="1b1b1b"/>
          <w:sz w:val="24"/>
          <w:lang w:val="pl-PL"/>
        </w:rPr>
        <w:t>ustawy</w:t>
      </w:r>
      <w:r>
        <w:rPr>
          <w:rFonts w:ascii="Times New Roman"/>
          <w:b w:val="false"/>
          <w:i w:val="false"/>
          <w:color w:val="000000"/>
          <w:sz w:val="24"/>
          <w:lang w:val="pl-PL"/>
        </w:rPr>
        <w:t xml:space="preserve"> szczególne nie stanowią inaczej; uchwała rady gminy jest wymagana również w przypadku, gdy po umowie zawartej na czas oznaczony do 3 lat strony zawierają kolejne umowy, których przedmiotem jest ta sama nieruchomość; do czasu określenia zasad wójt może dokonywać tych czynności wyłącznie za zgodą rady gminy,</w:t>
      </w:r>
    </w:p>
    <w:p>
      <w:pPr>
        <w:spacing w:after="0"/>
        <w:ind w:left="746"/>
        <w:jc w:val="left"/>
        <w:textAlignment w:val="auto"/>
      </w:pPr>
      <w:r>
        <w:rPr>
          <w:rFonts w:ascii="Times New Roman"/>
          <w:b w:val="false"/>
          <w:i w:val="false"/>
          <w:color w:val="000000"/>
          <w:sz w:val="24"/>
          <w:lang w:val="pl-PL"/>
        </w:rPr>
        <w:t>b)</w:t>
      </w:r>
      <w:r>
        <w:rPr>
          <w:rFonts w:ascii="Times New Roman"/>
          <w:b w:val="false"/>
          <w:i w:val="false"/>
          <w:color w:val="000000"/>
          <w:sz w:val="24"/>
          <w:lang w:val="pl-PL"/>
        </w:rPr>
        <w:t xml:space="preserve"> emitowania obligacji oraz określania zasad ich zbywania, nabywania i wykupu przez wójta,</w:t>
      </w:r>
    </w:p>
    <w:p>
      <w:pPr>
        <w:spacing w:after="0"/>
        <w:ind w:left="746"/>
        <w:jc w:val="left"/>
        <w:textAlignment w:val="auto"/>
      </w:pPr>
      <w:r>
        <w:rPr>
          <w:rFonts w:ascii="Times New Roman"/>
          <w:b w:val="false"/>
          <w:i w:val="false"/>
          <w:color w:val="000000"/>
          <w:sz w:val="24"/>
          <w:lang w:val="pl-PL"/>
        </w:rPr>
        <w:t>c)</w:t>
      </w:r>
      <w:r>
        <w:rPr>
          <w:rFonts w:ascii="Times New Roman"/>
          <w:b w:val="false"/>
          <w:i w:val="false"/>
          <w:color w:val="000000"/>
          <w:sz w:val="24"/>
          <w:lang w:val="pl-PL"/>
        </w:rPr>
        <w:t xml:space="preserve"> zaciągania długoterminowych zobowiązań zaliczanych do tytułu dłużnego, o którym mowa w </w:t>
      </w:r>
      <w:r>
        <w:rPr>
          <w:rFonts w:ascii="Times New Roman"/>
          <w:b w:val="false"/>
          <w:i w:val="false"/>
          <w:color w:val="1b1b1b"/>
          <w:sz w:val="24"/>
          <w:lang w:val="pl-PL"/>
        </w:rPr>
        <w:t>art. 72 ust. 1 pkt 2</w:t>
      </w:r>
      <w:r>
        <w:rPr>
          <w:rFonts w:ascii="Times New Roman"/>
          <w:b w:val="false"/>
          <w:i w:val="false"/>
          <w:color w:val="000000"/>
          <w:sz w:val="24"/>
          <w:lang w:val="pl-PL"/>
        </w:rPr>
        <w:t xml:space="preserve"> ustawy z dnia 27 sierpnia 2009 r. o finansach publicznych (Dz. U. z 2024 r. poz. 1530, 1572, 1717, 1756 i 1907 oraz z 2025 r. poz. 39),</w:t>
      </w:r>
    </w:p>
    <w:p>
      <w:pPr>
        <w:spacing w:after="0"/>
        <w:ind w:left="746"/>
        <w:jc w:val="left"/>
        <w:textAlignment w:val="auto"/>
      </w:pPr>
      <w:r>
        <w:rPr>
          <w:rFonts w:ascii="Times New Roman"/>
          <w:b w:val="false"/>
          <w:i w:val="false"/>
          <w:color w:val="000000"/>
          <w:sz w:val="24"/>
          <w:lang w:val="pl-PL"/>
        </w:rPr>
        <w:t>d)</w:t>
      </w:r>
      <w:r>
        <w:rPr>
          <w:rFonts w:ascii="Times New Roman"/>
          <w:b w:val="false"/>
          <w:i w:val="false"/>
          <w:color w:val="000000"/>
          <w:sz w:val="24"/>
          <w:lang w:val="pl-PL"/>
        </w:rPr>
        <w:t xml:space="preserve"> ustalania maksymalnej wysokości pożyczek i kredytów krótkoterminowych zaciąganych przez wójta w roku budżetowym,</w:t>
      </w:r>
    </w:p>
    <w:p>
      <w:pPr>
        <w:spacing w:after="0"/>
        <w:ind w:left="746"/>
        <w:jc w:val="left"/>
        <w:textAlignment w:val="auto"/>
      </w:pPr>
      <w:r>
        <w:rPr>
          <w:rFonts w:ascii="Times New Roman"/>
          <w:b w:val="false"/>
          <w:i w:val="false"/>
          <w:color w:val="000000"/>
          <w:sz w:val="24"/>
          <w:lang w:val="pl-PL"/>
        </w:rPr>
        <w:t>e)</w:t>
      </w:r>
      <w:r>
        <w:rPr>
          <w:rFonts w:ascii="Times New Roman"/>
          <w:b w:val="false"/>
          <w:i w:val="false"/>
          <w:color w:val="000000"/>
          <w:sz w:val="24"/>
          <w:lang w:val="pl-PL"/>
        </w:rPr>
        <w:t xml:space="preserve"> zobowiązań w zakresie podejmowania inwestycji i remontów o wartości przekraczającej granicę ustalaną corocznie przez radę gminy,</w:t>
      </w:r>
    </w:p>
    <w:p>
      <w:pPr>
        <w:spacing w:after="0"/>
        <w:ind w:left="746"/>
        <w:jc w:val="left"/>
        <w:textAlignment w:val="auto"/>
      </w:pPr>
      <w:r>
        <w:rPr>
          <w:rFonts w:ascii="Times New Roman"/>
          <w:b w:val="false"/>
          <w:i w:val="false"/>
          <w:color w:val="000000"/>
          <w:sz w:val="24"/>
          <w:lang w:val="pl-PL"/>
        </w:rPr>
        <w:t>f)</w:t>
      </w:r>
      <w:r>
        <w:rPr>
          <w:rFonts w:ascii="Times New Roman"/>
          <w:b w:val="false"/>
          <w:i w:val="false"/>
          <w:color w:val="000000"/>
          <w:sz w:val="24"/>
          <w:lang w:val="pl-PL"/>
        </w:rPr>
        <w:t xml:space="preserve"> tworzenia i przystępowania do spółek i spółdzielni oraz rozwiązywania i występowania z nich,</w:t>
      </w:r>
    </w:p>
    <w:p>
      <w:pPr>
        <w:spacing w:after="0"/>
        <w:ind w:left="746"/>
        <w:jc w:val="left"/>
        <w:textAlignment w:val="auto"/>
      </w:pPr>
      <w:r>
        <w:rPr>
          <w:rFonts w:ascii="Times New Roman"/>
          <w:b w:val="false"/>
          <w:i w:val="false"/>
          <w:color w:val="000000"/>
          <w:sz w:val="24"/>
          <w:lang w:val="pl-PL"/>
        </w:rPr>
        <w:t>g)</w:t>
      </w:r>
      <w:r>
        <w:rPr>
          <w:rFonts w:ascii="Times New Roman"/>
          <w:b w:val="false"/>
          <w:i w:val="false"/>
          <w:color w:val="000000"/>
          <w:sz w:val="24"/>
          <w:lang w:val="pl-PL"/>
        </w:rPr>
        <w:t xml:space="preserve"> określania zasad wnoszenia, cofania i zbywania udziałów i akcji przez wójta,</w:t>
      </w:r>
    </w:p>
    <w:p>
      <w:pPr>
        <w:spacing w:after="0"/>
        <w:ind w:left="746"/>
        <w:jc w:val="left"/>
        <w:textAlignment w:val="auto"/>
      </w:pPr>
      <w:r>
        <w:rPr>
          <w:rFonts w:ascii="Times New Roman"/>
          <w:b w:val="false"/>
          <w:i w:val="false"/>
          <w:color w:val="000000"/>
          <w:sz w:val="24"/>
          <w:lang w:val="pl-PL"/>
        </w:rPr>
        <w:t>h)</w:t>
      </w:r>
      <w:r>
        <w:rPr>
          <w:rFonts w:ascii="Times New Roman"/>
          <w:b w:val="false"/>
          <w:i w:val="false"/>
          <w:color w:val="000000"/>
          <w:sz w:val="24"/>
          <w:lang w:val="pl-PL"/>
        </w:rPr>
        <w:t xml:space="preserve"> tworzenia, likwidacji i reorganizacji przedsiębiorstw, zakładów i innych gminnych jednostek organizacyjnych oraz wyposażania ich w majątek,</w:t>
      </w:r>
    </w:p>
    <w:p>
      <w:pPr>
        <w:spacing w:after="0"/>
        <w:ind w:left="746"/>
        <w:jc w:val="left"/>
        <w:textAlignment w:val="auto"/>
      </w:pPr>
      <w:r>
        <w:rPr>
          <w:rFonts w:ascii="Times New Roman"/>
          <w:b w:val="false"/>
          <w:i w:val="false"/>
          <w:color w:val="000000"/>
          <w:sz w:val="24"/>
          <w:lang w:val="pl-PL"/>
        </w:rPr>
        <w:t>i)</w:t>
      </w:r>
      <w:r>
        <w:rPr>
          <w:rFonts w:ascii="Times New Roman"/>
          <w:b w:val="false"/>
          <w:i w:val="false"/>
          <w:color w:val="000000"/>
          <w:sz w:val="24"/>
          <w:lang w:val="pl-PL"/>
        </w:rPr>
        <w:t xml:space="preserve"> ustalania maksymalnej wysokości pożyczek i poręczeń udzielanych przez wójta w roku budżetowym,</w:t>
      </w:r>
    </w:p>
    <w:p>
      <w:pPr>
        <w:spacing w:after="0"/>
        <w:ind w:left="746"/>
        <w:jc w:val="left"/>
        <w:textAlignment w:val="auto"/>
      </w:pPr>
      <w:r>
        <w:rPr>
          <w:rFonts w:ascii="Times New Roman"/>
          <w:b w:val="false"/>
          <w:i w:val="false"/>
          <w:color w:val="000000"/>
          <w:sz w:val="24"/>
          <w:lang w:val="pl-PL"/>
        </w:rPr>
        <w:t>j)</w:t>
      </w:r>
      <w:r>
        <w:rPr>
          <w:rFonts w:ascii="Times New Roman"/>
          <w:b w:val="false"/>
          <w:i w:val="false"/>
          <w:color w:val="000000"/>
          <w:sz w:val="24"/>
          <w:lang w:val="pl-PL"/>
        </w:rPr>
        <w:t xml:space="preserve"> wyrażenia zgody na zawarcie umowy, o której mowa w art. 50a ust. 1;</w:t>
      </w:r>
    </w:p>
    <w:p>
      <w:pPr>
        <w:spacing w:before="26" w:after="0"/>
        <w:ind w:left="373"/>
        <w:jc w:val="left"/>
        <w:textAlignment w:val="auto"/>
      </w:pPr>
      <w:r>
        <w:rPr>
          <w:rFonts w:ascii="Times New Roman"/>
          <w:b w:val="false"/>
          <w:i w:val="false"/>
          <w:color w:val="000000"/>
          <w:sz w:val="24"/>
          <w:lang w:val="pl-PL"/>
        </w:rPr>
        <w:t>10)</w:t>
      </w:r>
      <w:r>
        <w:rPr>
          <w:rFonts w:ascii="Times New Roman"/>
          <w:b w:val="false"/>
          <w:i w:val="false"/>
          <w:color w:val="000000"/>
          <w:sz w:val="24"/>
          <w:lang w:val="pl-PL"/>
        </w:rPr>
        <w:t xml:space="preserve"> określanie wysokości sumy, do której wójt może samodzielnie zaciągać zobowiązania;</w:t>
      </w:r>
    </w:p>
    <w:p>
      <w:pPr>
        <w:spacing w:before="26" w:after="0"/>
        <w:ind w:left="373"/>
        <w:jc w:val="left"/>
        <w:textAlignment w:val="auto"/>
      </w:pPr>
      <w:r>
        <w:rPr>
          <w:rFonts w:ascii="Times New Roman"/>
          <w:b w:val="false"/>
          <w:i w:val="false"/>
          <w:color w:val="000000"/>
          <w:sz w:val="24"/>
          <w:lang w:val="pl-PL"/>
        </w:rPr>
        <w:t>11)</w:t>
      </w:r>
      <w:r>
        <w:rPr>
          <w:rFonts w:ascii="Times New Roman"/>
          <w:b w:val="false"/>
          <w:i w:val="false"/>
          <w:color w:val="000000"/>
          <w:sz w:val="24"/>
          <w:lang w:val="pl-PL"/>
        </w:rPr>
        <w:t xml:space="preserve"> podejmowanie uchwał w sprawie przyjęcia zadań, o których mowa w art. 8 ust. 2 i 2a;</w:t>
      </w:r>
    </w:p>
    <w:p>
      <w:pPr>
        <w:spacing w:before="26" w:after="0"/>
        <w:ind w:left="373"/>
        <w:jc w:val="left"/>
        <w:textAlignment w:val="auto"/>
      </w:pPr>
      <w:r>
        <w:rPr>
          <w:rFonts w:ascii="Times New Roman"/>
          <w:b w:val="false"/>
          <w:i w:val="false"/>
          <w:color w:val="000000"/>
          <w:sz w:val="24"/>
          <w:lang w:val="pl-PL"/>
        </w:rPr>
        <w:t>12)</w:t>
      </w:r>
      <w:r>
        <w:rPr>
          <w:rFonts w:ascii="Times New Roman"/>
          <w:b w:val="false"/>
          <w:i w:val="false"/>
          <w:color w:val="000000"/>
          <w:sz w:val="24"/>
          <w:lang w:val="pl-PL"/>
        </w:rPr>
        <w:t xml:space="preserve"> podejmowanie uchwał w sprawach współdziałania z innymi gminami oraz wydzielanie na ten cel odpowiedniego majątku;</w:t>
      </w:r>
    </w:p>
    <w:p>
      <w:pPr>
        <w:spacing w:before="26" w:after="0"/>
        <w:ind w:left="373"/>
        <w:jc w:val="left"/>
        <w:textAlignment w:val="auto"/>
      </w:pPr>
      <w:r>
        <w:rPr>
          <w:rFonts w:ascii="Times New Roman"/>
          <w:b w:val="false"/>
          <w:i w:val="false"/>
          <w:color w:val="000000"/>
          <w:sz w:val="24"/>
          <w:lang w:val="pl-PL"/>
        </w:rPr>
        <w:t>12a)</w:t>
      </w:r>
      <w:r>
        <w:rPr>
          <w:rFonts w:ascii="Times New Roman"/>
          <w:b w:val="false"/>
          <w:i w:val="false"/>
          <w:color w:val="000000"/>
          <w:sz w:val="24"/>
          <w:lang w:val="pl-PL"/>
        </w:rPr>
        <w:t xml:space="preserve"> podejmowanie uchwał w sprawach współpracy ze społecznościami lokalnymi i regionalnymi innych państw oraz przystępowania do międzynarodowych zrzeszeń społeczności lokalnych i regionalnych;</w:t>
      </w:r>
    </w:p>
    <w:p>
      <w:pPr>
        <w:spacing w:before="26" w:after="0"/>
        <w:ind w:left="373"/>
        <w:jc w:val="left"/>
        <w:textAlignment w:val="auto"/>
      </w:pPr>
      <w:r>
        <w:rPr>
          <w:rFonts w:ascii="Times New Roman"/>
          <w:b w:val="false"/>
          <w:i w:val="false"/>
          <w:color w:val="000000"/>
          <w:sz w:val="24"/>
          <w:lang w:val="pl-PL"/>
        </w:rPr>
        <w:t>13)</w:t>
      </w:r>
      <w:r>
        <w:rPr>
          <w:rFonts w:ascii="Times New Roman"/>
          <w:b w:val="false"/>
          <w:i w:val="false"/>
          <w:color w:val="000000"/>
          <w:sz w:val="24"/>
          <w:lang w:val="pl-PL"/>
        </w:rPr>
        <w:t xml:space="preserve"> podejmowanie uchwał w sprawach herbu gminy, nazw ulic i placów będących drogami publicznymi lub nazw dróg wewnętrznych w rozumieniu </w:t>
      </w:r>
      <w:r>
        <w:rPr>
          <w:rFonts w:ascii="Times New Roman"/>
          <w:b w:val="false"/>
          <w:i w:val="false"/>
          <w:color w:val="1b1b1b"/>
          <w:sz w:val="24"/>
          <w:lang w:val="pl-PL"/>
        </w:rPr>
        <w:t>ustawy</w:t>
      </w:r>
      <w:r>
        <w:rPr>
          <w:rFonts w:ascii="Times New Roman"/>
          <w:b w:val="false"/>
          <w:i w:val="false"/>
          <w:color w:val="000000"/>
          <w:sz w:val="24"/>
          <w:lang w:val="pl-PL"/>
        </w:rPr>
        <w:t xml:space="preserve"> z dnia 21 marca 1985 r. o drogach publicznych (Dz. U. z 2025 r. poz. 889), a także wznoszenia pomników;</w:t>
      </w:r>
    </w:p>
    <w:p>
      <w:pPr>
        <w:spacing w:before="26" w:after="0"/>
        <w:ind w:left="373"/>
        <w:jc w:val="left"/>
        <w:textAlignment w:val="auto"/>
      </w:pPr>
      <w:r>
        <w:rPr>
          <w:rFonts w:ascii="Times New Roman"/>
          <w:b w:val="false"/>
          <w:i w:val="false"/>
          <w:color w:val="000000"/>
          <w:sz w:val="24"/>
          <w:lang w:val="pl-PL"/>
        </w:rPr>
        <w:t>14)</w:t>
      </w:r>
      <w:r>
        <w:rPr>
          <w:rFonts w:ascii="Times New Roman"/>
          <w:b w:val="false"/>
          <w:i w:val="false"/>
          <w:color w:val="000000"/>
          <w:sz w:val="24"/>
          <w:lang w:val="pl-PL"/>
        </w:rPr>
        <w:t xml:space="preserve"> nadawanie honorowego obywatelstwa gminy;</w:t>
      </w:r>
    </w:p>
    <w:p>
      <w:pPr>
        <w:spacing w:before="26" w:after="0"/>
        <w:ind w:left="373"/>
        <w:jc w:val="left"/>
        <w:textAlignment w:val="auto"/>
      </w:pPr>
      <w:r>
        <w:rPr>
          <w:rFonts w:ascii="Times New Roman"/>
          <w:b w:val="false"/>
          <w:i w:val="false"/>
          <w:color w:val="000000"/>
          <w:sz w:val="24"/>
          <w:lang w:val="pl-PL"/>
        </w:rPr>
        <w:t>14a)</w:t>
      </w:r>
      <w:r>
        <w:rPr>
          <w:rFonts w:ascii="Times New Roman"/>
          <w:b w:val="false"/>
          <w:i w:val="false"/>
          <w:color w:val="000000"/>
          <w:sz w:val="24"/>
          <w:lang w:val="pl-PL"/>
        </w:rPr>
        <w:t xml:space="preserve"> podejmowanie uchwał w sprawie zasad udzielania stypendiów dla uczniów i studentów;</w:t>
      </w:r>
    </w:p>
    <w:p>
      <w:pPr>
        <w:spacing w:before="26" w:after="0"/>
        <w:ind w:left="373"/>
        <w:jc w:val="left"/>
        <w:textAlignment w:val="auto"/>
      </w:pPr>
      <w:r>
        <w:rPr>
          <w:rFonts w:ascii="Times New Roman"/>
          <w:b w:val="false"/>
          <w:i w:val="false"/>
          <w:color w:val="000000"/>
          <w:sz w:val="24"/>
          <w:lang w:val="pl-PL"/>
        </w:rPr>
        <w:t>15)</w:t>
      </w:r>
      <w:r>
        <w:rPr>
          <w:rFonts w:ascii="Times New Roman"/>
          <w:b w:val="false"/>
          <w:i w:val="false"/>
          <w:color w:val="000000"/>
          <w:sz w:val="24"/>
          <w:lang w:val="pl-PL"/>
        </w:rPr>
        <w:t xml:space="preserve"> stanowienie w innych sprawach zastrzeżonych ustawami do kompetencji rady gminy.</w:t>
      </w:r>
    </w:p>
    <w:p>
      <w:pPr>
        <w:spacing w:before="26" w:after="0"/>
        <w:ind w:left="0"/>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(uchylony).</w:t>
      </w:r>
    </w:p>
    <w:p>
      <w:pPr>
        <w:spacing w:before="26" w:after="0"/>
        <w:ind w:left="0"/>
        <w:jc w:val="left"/>
        <w:textAlignment w:val="auto"/>
      </w:pPr>
      <w:r>
        <w:rPr>
          <w:rFonts w:ascii="Times New Roman"/>
          <w:b w:val="false"/>
          <w:i w:val="false"/>
          <w:color w:val="000000"/>
          <w:sz w:val="24"/>
          <w:lang w:val="pl-PL"/>
        </w:rPr>
        <w:t>4.</w:t>
      </w:r>
      <w:r>
        <w:rPr>
          <w:rFonts w:ascii="Times New Roman"/>
          <w:b w:val="false"/>
          <w:i w:val="false"/>
          <w:color w:val="000000"/>
          <w:sz w:val="24"/>
          <w:lang w:val="pl-PL"/>
        </w:rPr>
        <w:t> (uchylony).</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18a.</w:t>
      </w:r>
      <w:r>
        <w:rPr>
          <w:rFonts w:ascii="Times New Roman"/>
          <w:b/>
          <w:i w:val="false"/>
          <w:color w:val="000000"/>
          <w:sz w:val="24"/>
          <w:lang w:val="pl-PL"/>
        </w:rPr>
        <w:t xml:space="preserve"> [Komisja rewizyjna]</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Rada gminy kontroluje działalność wójta, gminnych jednostek organizacyjnych oraz jednostek pomocniczych gminy; w tym celu powołuje komisję rewizyjną.</w:t>
      </w: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W skład komisji rewizyjnej wchodzą radni, w tym przedstawiciele wszystkich klubów, z wyjątkiem radnych pełniących funkcje, o których mowa w art. 19 ust. 1.</w:t>
      </w:r>
    </w:p>
    <w:p>
      <w:pPr>
        <w:spacing w:before="26" w:after="0"/>
        <w:ind w:left="0"/>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Komisja rewizyjna opiniuje wykonanie budżetu gminy i występuje z wnioskiem do rady gminy w sprawie udzielenia lub nieudzielenia absolutorium wójtowi. Wniosek w sprawie absolutorium podlega zaopiniowaniu przez regionalną izbę obrachunkową.</w:t>
      </w:r>
    </w:p>
    <w:p>
      <w:pPr>
        <w:spacing w:before="26" w:after="0"/>
        <w:ind w:left="0"/>
        <w:jc w:val="left"/>
        <w:textAlignment w:val="auto"/>
      </w:pPr>
      <w:r>
        <w:rPr>
          <w:rFonts w:ascii="Times New Roman"/>
          <w:b w:val="false"/>
          <w:i w:val="false"/>
          <w:color w:val="000000"/>
          <w:sz w:val="24"/>
          <w:lang w:val="pl-PL"/>
        </w:rPr>
        <w:t>4.</w:t>
      </w:r>
      <w:r>
        <w:rPr>
          <w:rFonts w:ascii="Times New Roman"/>
          <w:b w:val="false"/>
          <w:i w:val="false"/>
          <w:color w:val="000000"/>
          <w:sz w:val="24"/>
          <w:lang w:val="pl-PL"/>
        </w:rPr>
        <w:t> Komisja rewizyjna wykonuje inne zadania zlecone przez radę w zakresie kontroli. Uprawnienie to nie narusza uprawnień kontrolnych innych komisji, powoływanych przez radę gminy na podstawie art. 21 ust. 1.</w:t>
      </w:r>
    </w:p>
    <w:p>
      <w:pPr>
        <w:spacing w:before="26" w:after="0"/>
        <w:ind w:left="0"/>
        <w:jc w:val="left"/>
        <w:textAlignment w:val="auto"/>
      </w:pPr>
      <w:r>
        <w:rPr>
          <w:rFonts w:ascii="Times New Roman"/>
          <w:b w:val="false"/>
          <w:i w:val="false"/>
          <w:color w:val="000000"/>
          <w:sz w:val="24"/>
          <w:lang w:val="pl-PL"/>
        </w:rPr>
        <w:t>5.</w:t>
      </w:r>
      <w:r>
        <w:rPr>
          <w:rFonts w:ascii="Times New Roman"/>
          <w:b w:val="false"/>
          <w:i w:val="false"/>
          <w:color w:val="000000"/>
          <w:sz w:val="24"/>
          <w:lang w:val="pl-PL"/>
        </w:rPr>
        <w:t> Zasady i tryb działania komisji rewizyjnej określa statut gminy.</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18b.</w:t>
      </w:r>
      <w:r>
        <w:rPr>
          <w:rFonts w:ascii="Times New Roman"/>
          <w:b/>
          <w:i w:val="false"/>
          <w:color w:val="000000"/>
          <w:sz w:val="24"/>
          <w:lang w:val="pl-PL"/>
        </w:rPr>
        <w:t xml:space="preserve"> [Rozpatrywanie skarg, wniosków i petycji]</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Rada gminy rozpatruje skargi na działania wójta i gminnych jednostek organizacyjnych; wnioski oraz petycje składane przez obywateli; w tym celu powołuje komisję skarg, wniosków i petycji.</w:t>
      </w: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W skład komisji skarg, wniosków i petycji wchodzą radni, w tym przedstawiciele wszystkich klubów, z wyjątkiem radnych pełniących funkcje, o których mowa w art. 19 ust. 1.</w:t>
      </w:r>
    </w:p>
    <w:p>
      <w:pPr>
        <w:spacing w:before="26" w:after="0"/>
        <w:ind w:left="0"/>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Zasady i tryb działania komisji skarg, wniosków i petycji określa statut gminy.</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19.</w:t>
      </w:r>
      <w:r>
        <w:rPr>
          <w:rFonts w:ascii="Times New Roman"/>
          <w:b/>
          <w:i w:val="false"/>
          <w:color w:val="000000"/>
          <w:sz w:val="24"/>
          <w:lang w:val="pl-PL"/>
        </w:rPr>
        <w:t xml:space="preserve"> [Wybór oraz odwołanie przewodniczącego i wiceprzewodniczącego rady gminy]</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Rada gminy wybiera ze swego grona przewodniczącego i 1-3 wiceprzewodniczących bezwzględną większością głosów w obecności co najmniej połowy ustawowego składu rady, w głosowaniu tajnym.</w:t>
      </w: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Zadaniem przewodniczącego jest wyłącznie organizowanie pracy rady oraz prowadzenie obrad rady. Przewodniczący może wyznaczyć do wykonywania swoich zadań wiceprzewodniczącego. W przypadku nieobecności przewodniczącego i niewyznaczenia wiceprzewodniczącego, zadania przewodniczącego wykonuje wiceprzewodniczący najstarszy wiekiem.</w:t>
      </w:r>
    </w:p>
    <w:p>
      <w:pPr>
        <w:spacing w:before="26" w:after="0"/>
        <w:ind w:left="0"/>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(uchylony).</w:t>
      </w:r>
    </w:p>
    <w:p>
      <w:pPr>
        <w:spacing w:before="26" w:after="0"/>
        <w:ind w:left="0"/>
        <w:jc w:val="left"/>
        <w:textAlignment w:val="auto"/>
      </w:pPr>
      <w:r>
        <w:rPr>
          <w:rFonts w:ascii="Times New Roman"/>
          <w:b w:val="false"/>
          <w:i w:val="false"/>
          <w:color w:val="000000"/>
          <w:sz w:val="24"/>
          <w:lang w:val="pl-PL"/>
        </w:rPr>
        <w:t>4.</w:t>
      </w:r>
      <w:r>
        <w:rPr>
          <w:rFonts w:ascii="Times New Roman"/>
          <w:b w:val="false"/>
          <w:i w:val="false"/>
          <w:color w:val="000000"/>
          <w:sz w:val="24"/>
          <w:lang w:val="pl-PL"/>
        </w:rPr>
        <w:t> Odwołanie przewodniczącego i wiceprzewodniczących następuje na wniosek co najmniej 1/4 ustawowego składu rady gminy w trybie określonym w ust. 1.</w:t>
      </w:r>
    </w:p>
    <w:p>
      <w:pPr>
        <w:spacing w:before="26" w:after="0"/>
        <w:ind w:left="0"/>
        <w:jc w:val="left"/>
        <w:textAlignment w:val="auto"/>
      </w:pPr>
      <w:r>
        <w:rPr>
          <w:rFonts w:ascii="Times New Roman"/>
          <w:b w:val="false"/>
          <w:i w:val="false"/>
          <w:color w:val="000000"/>
          <w:sz w:val="24"/>
          <w:lang w:val="pl-PL"/>
        </w:rPr>
        <w:t>5.</w:t>
      </w:r>
      <w:r>
        <w:rPr>
          <w:rFonts w:ascii="Times New Roman"/>
          <w:b w:val="false"/>
          <w:i w:val="false"/>
          <w:color w:val="000000"/>
          <w:sz w:val="24"/>
          <w:lang w:val="pl-PL"/>
        </w:rPr>
        <w:t> W przypadku rezygnacji przewodniczącego lub wiceprzewodniczącego rada podejmuje uchwałę w sprawie przyjęcia tej rezygnacji nie później niż w ciągu 1 miesiąca od dnia złożenia rezygnacji.</w:t>
      </w:r>
    </w:p>
    <w:p>
      <w:pPr>
        <w:spacing w:before="26" w:after="0"/>
        <w:ind w:left="0"/>
        <w:jc w:val="left"/>
        <w:textAlignment w:val="auto"/>
      </w:pPr>
      <w:r>
        <w:rPr>
          <w:rFonts w:ascii="Times New Roman"/>
          <w:b w:val="false"/>
          <w:i w:val="false"/>
          <w:color w:val="000000"/>
          <w:sz w:val="24"/>
          <w:lang w:val="pl-PL"/>
        </w:rPr>
        <w:t>6.</w:t>
      </w:r>
      <w:r>
        <w:rPr>
          <w:rFonts w:ascii="Times New Roman"/>
          <w:b w:val="false"/>
          <w:i w:val="false"/>
          <w:color w:val="000000"/>
          <w:sz w:val="24"/>
          <w:lang w:val="pl-PL"/>
        </w:rPr>
        <w:t> Niepodjęcie uchwały, o której mowa w ust. 5, w ciągu 1 miesiąca od dnia złożenia rezygnacji przez przewodniczącego lub wiceprzewodniczącego jest równoznaczne z przyjęciem rezygnacji przez radę gminy z upływem ostatniego dnia miesiąca, w którym powinna być podjęta uchwała.</w:t>
      </w:r>
    </w:p>
    <w:p>
      <w:pPr>
        <w:spacing w:before="26" w:after="0"/>
        <w:ind w:left="0"/>
        <w:jc w:val="left"/>
        <w:textAlignment w:val="auto"/>
      </w:pPr>
      <w:r>
        <w:rPr>
          <w:rFonts w:ascii="Times New Roman"/>
          <w:b w:val="false"/>
          <w:i w:val="false"/>
          <w:color w:val="000000"/>
          <w:sz w:val="24"/>
          <w:lang w:val="pl-PL"/>
        </w:rPr>
        <w:t>7.</w:t>
      </w:r>
      <w:r>
        <w:rPr>
          <w:rFonts w:ascii="Times New Roman"/>
          <w:b w:val="false"/>
          <w:i w:val="false"/>
          <w:color w:val="000000"/>
          <w:sz w:val="24"/>
          <w:lang w:val="pl-PL"/>
        </w:rPr>
        <w:t> W przypadku odwołania lub przyjęcia rezygnacji przewodniczącego i wiceprzewodniczących oraz niewybrania w ich miejsce osób do pełnienia tych funkcji w terminie 30 dni od dnia przyjęcia rezygnacji albo od dnia odwołania, sesję rady gminy w celu wyboru przewodniczącego, zwołuje wojewoda. Sesja zwoływana jest na dzień przypadający w ciągu 7 dni po upływie terminu, o którym mowa w zdaniu pierwszym.</w:t>
      </w:r>
    </w:p>
    <w:p>
      <w:pPr>
        <w:spacing w:before="26" w:after="0"/>
        <w:ind w:left="0"/>
        <w:jc w:val="left"/>
        <w:textAlignment w:val="auto"/>
      </w:pPr>
      <w:r>
        <w:rPr>
          <w:rFonts w:ascii="Times New Roman"/>
          <w:b w:val="false"/>
          <w:i w:val="false"/>
          <w:color w:val="000000"/>
          <w:sz w:val="24"/>
          <w:lang w:val="pl-PL"/>
        </w:rPr>
        <w:t>8.</w:t>
      </w:r>
      <w:r>
        <w:rPr>
          <w:rFonts w:ascii="Times New Roman"/>
          <w:b w:val="false"/>
          <w:i w:val="false"/>
          <w:color w:val="000000"/>
          <w:sz w:val="24"/>
          <w:lang w:val="pl-PL"/>
        </w:rPr>
        <w:t> Sesję rady gminy, o której mowa w ust. 7, do czasu wyboru przewodniczącego prowadzi najstarszy wiekiem radny obecny na sesji, który wyraził zgodę na prowadzenie sesji.</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20.</w:t>
      </w:r>
      <w:r>
        <w:rPr>
          <w:rFonts w:ascii="Times New Roman"/>
          <w:b/>
          <w:i w:val="false"/>
          <w:color w:val="000000"/>
          <w:sz w:val="24"/>
          <w:lang w:val="pl-PL"/>
        </w:rPr>
        <w:t xml:space="preserve"> [Zwoływanie sesji rady gminy oraz ustalanie porządku obrad; transmisja i utrwalanie obrad]</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Rada gminy obraduje na sesjach zwoływanych przez przewodniczącego w miarę potrzeby, nie rzadziej jednak niż raz na kwartał. Do zawiadomienia o zwołaniu sesji dołącza się porządek obrad wraz z projektami uchwał.</w:t>
      </w:r>
    </w:p>
    <w:p>
      <w:pPr>
        <w:spacing w:before="26" w:after="0"/>
        <w:ind w:left="0"/>
        <w:jc w:val="left"/>
        <w:textAlignment w:val="auto"/>
      </w:pPr>
      <w:r>
        <w:rPr>
          <w:rFonts w:ascii="Times New Roman"/>
          <w:b w:val="false"/>
          <w:i w:val="false"/>
          <w:color w:val="000000"/>
          <w:sz w:val="24"/>
          <w:lang w:val="pl-PL"/>
        </w:rPr>
        <w:t>1a.</w:t>
      </w:r>
      <w:r>
        <w:rPr>
          <w:rFonts w:ascii="Times New Roman"/>
          <w:b w:val="false"/>
          <w:i w:val="false"/>
          <w:color w:val="000000"/>
          <w:sz w:val="24"/>
          <w:lang w:val="pl-PL"/>
        </w:rPr>
        <w:t> Rada gminy może wprowadzić zmiany w porządku bezwzględną większością głosów ustawowego składu rady.</w:t>
      </w:r>
    </w:p>
    <w:p>
      <w:pPr>
        <w:spacing w:before="26" w:after="0"/>
        <w:ind w:left="0"/>
        <w:jc w:val="left"/>
        <w:textAlignment w:val="auto"/>
      </w:pPr>
      <w:r>
        <w:rPr>
          <w:rFonts w:ascii="Times New Roman"/>
          <w:b w:val="false"/>
          <w:i w:val="false"/>
          <w:color w:val="000000"/>
          <w:sz w:val="24"/>
          <w:lang w:val="pl-PL"/>
        </w:rPr>
        <w:t>1b.</w:t>
      </w:r>
      <w:r>
        <w:rPr>
          <w:rFonts w:ascii="Times New Roman"/>
          <w:b w:val="false"/>
          <w:i w:val="false"/>
          <w:color w:val="000000"/>
          <w:sz w:val="24"/>
          <w:lang w:val="pl-PL"/>
        </w:rPr>
        <w:t> Obrady rady gminy są transmitowane i utrwalane za pomocą urządzeń rejestrujących obraz i dźwięk. Nagrania obrad są udostępniane w Biuletynie Informacji Publicznej i na stronie internetowej gminy oraz w inny sposób zwyczajowo przyjęty.</w:t>
      </w:r>
    </w:p>
    <w:p>
      <w:pPr>
        <w:spacing w:before="26" w:after="0"/>
        <w:ind w:left="0"/>
        <w:jc w:val="left"/>
        <w:textAlignment w:val="auto"/>
      </w:pPr>
      <w:r>
        <w:rPr>
          <w:rFonts w:ascii="Times New Roman"/>
          <w:b w:val="false"/>
          <w:i w:val="false"/>
          <w:color w:val="000000"/>
          <w:sz w:val="24"/>
          <w:lang w:val="pl-PL"/>
        </w:rPr>
        <w:t>1c.</w:t>
      </w:r>
      <w:r>
        <w:rPr>
          <w:rFonts w:ascii="Times New Roman"/>
          <w:b w:val="false"/>
          <w:i w:val="false"/>
          <w:color w:val="000000"/>
          <w:sz w:val="24"/>
          <w:lang w:val="pl-PL"/>
        </w:rPr>
        <w:t> (uchylony).</w:t>
      </w: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Pierwszą sesję nowo wybranej rady gminy zwołuje komisarz wyborczy na dzień przypadający w ciągu 7 dni po upływie kadencji rady.</w:t>
      </w:r>
    </w:p>
    <w:p>
      <w:pPr>
        <w:spacing w:before="26" w:after="0"/>
        <w:ind w:left="0"/>
        <w:jc w:val="left"/>
        <w:textAlignment w:val="auto"/>
      </w:pPr>
      <w:r>
        <w:rPr>
          <w:rFonts w:ascii="Times New Roman"/>
          <w:b w:val="false"/>
          <w:i w:val="false"/>
          <w:color w:val="000000"/>
          <w:sz w:val="24"/>
          <w:lang w:val="pl-PL"/>
        </w:rPr>
        <w:t>2a.</w:t>
      </w:r>
      <w:r>
        <w:rPr>
          <w:rFonts w:ascii="Times New Roman"/>
          <w:b w:val="false"/>
          <w:i w:val="false"/>
          <w:color w:val="000000"/>
          <w:sz w:val="24"/>
          <w:lang w:val="pl-PL"/>
        </w:rPr>
        <w:t> (uchylony).</w:t>
      </w:r>
    </w:p>
    <w:p>
      <w:pPr>
        <w:spacing w:before="26" w:after="0"/>
        <w:ind w:left="0"/>
        <w:jc w:val="left"/>
        <w:textAlignment w:val="auto"/>
      </w:pPr>
      <w:r>
        <w:rPr>
          <w:rFonts w:ascii="Times New Roman"/>
          <w:b w:val="false"/>
          <w:i w:val="false"/>
          <w:color w:val="000000"/>
          <w:sz w:val="24"/>
          <w:lang w:val="pl-PL"/>
        </w:rPr>
        <w:t>2b.</w:t>
      </w:r>
      <w:r>
        <w:rPr>
          <w:rFonts w:ascii="Times New Roman"/>
          <w:b w:val="false"/>
          <w:i w:val="false"/>
          <w:color w:val="000000"/>
          <w:sz w:val="24"/>
          <w:lang w:val="pl-PL"/>
        </w:rPr>
        <w:t> W przypadku wyborów przedterminowych pierwszą sesję zwołuje osoba, którą Prezes Rady Ministrów wyznaczył do pełnienia funkcji organów jednostki samorządu terytorialnego, na dzień przypadający w ciągu 7 dni po ogłoszeniu wyników wyborów do rady gminy.</w:t>
      </w:r>
    </w:p>
    <w:p>
      <w:pPr>
        <w:spacing w:before="26" w:after="0"/>
        <w:ind w:left="0"/>
        <w:jc w:val="left"/>
        <w:textAlignment w:val="auto"/>
      </w:pPr>
      <w:r>
        <w:rPr>
          <w:rFonts w:ascii="Times New Roman"/>
          <w:b w:val="false"/>
          <w:i w:val="false"/>
          <w:color w:val="000000"/>
          <w:sz w:val="24"/>
          <w:lang w:val="pl-PL"/>
        </w:rPr>
        <w:t>2ba.</w:t>
      </w:r>
      <w:r>
        <w:rPr>
          <w:rFonts w:ascii="Times New Roman"/>
          <w:b w:val="false"/>
          <w:i w:val="false"/>
          <w:color w:val="000000"/>
          <w:sz w:val="24"/>
          <w:lang w:val="pl-PL"/>
        </w:rPr>
        <w:t xml:space="preserve"> Pierwszą sesję rady gminy powstałej w wyniku połączenia gmin lub rady nowo utworzonej gminy zwołuje komisarz wyborczy na dzień przypadający w terminie 7 dni po dniu ogłoszenia wyników wyborów do rady, a w przypadku, o którym mowa w </w:t>
      </w:r>
      <w:r>
        <w:rPr>
          <w:rFonts w:ascii="Times New Roman"/>
          <w:b w:val="false"/>
          <w:i w:val="false"/>
          <w:color w:val="1b1b1b"/>
          <w:sz w:val="24"/>
          <w:lang w:val="pl-PL"/>
        </w:rPr>
        <w:t>art. 390a § 2</w:t>
      </w:r>
      <w:r>
        <w:rPr>
          <w:rFonts w:ascii="Times New Roman"/>
          <w:b w:val="false"/>
          <w:i w:val="false"/>
          <w:color w:val="000000"/>
          <w:sz w:val="24"/>
          <w:lang w:val="pl-PL"/>
        </w:rPr>
        <w:t xml:space="preserve"> ustawy z dnia 5 stycznia 2011 r. - Kodeks wyborczy, na dzień przypadający w terminie 7 dni od dnia powstania gminy.</w:t>
      </w:r>
    </w:p>
    <w:p>
      <w:pPr>
        <w:spacing w:before="26" w:after="0"/>
        <w:ind w:left="0"/>
        <w:jc w:val="left"/>
        <w:textAlignment w:val="auto"/>
      </w:pPr>
      <w:r>
        <w:rPr>
          <w:rFonts w:ascii="Times New Roman"/>
          <w:b w:val="false"/>
          <w:i w:val="false"/>
          <w:color w:val="000000"/>
          <w:sz w:val="24"/>
          <w:lang w:val="pl-PL"/>
        </w:rPr>
        <w:t>2c.</w:t>
      </w:r>
      <w:r>
        <w:rPr>
          <w:rFonts w:ascii="Times New Roman"/>
          <w:b w:val="false"/>
          <w:i w:val="false"/>
          <w:color w:val="000000"/>
          <w:sz w:val="24"/>
          <w:lang w:val="pl-PL"/>
        </w:rPr>
        <w:t> Pierwszą sesję nowo wybranej rady gminy, do czasu wyboru przewodniczącego rady, prowadzi najstarszy wiekiem radny obecny na sesji.</w:t>
      </w:r>
    </w:p>
    <w:p>
      <w:pPr>
        <w:spacing w:before="26" w:after="0"/>
        <w:ind w:left="0"/>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Na wniosek wójta lub co najmniej 1/4 ustawowego składu rady gminy przewodniczący obowiązany jest zwołać sesję na dzień przypadający w ciągu 7 dni od dnia złożenia wniosku. Wniosek o zwołanie sesji powinien spełniać wymogi określone w ust. 1 w zdaniu drugim.</w:t>
      </w:r>
    </w:p>
    <w:p>
      <w:pPr>
        <w:spacing w:before="26" w:after="0"/>
        <w:ind w:left="0"/>
        <w:jc w:val="left"/>
        <w:textAlignment w:val="auto"/>
      </w:pPr>
      <w:r>
        <w:rPr>
          <w:rFonts w:ascii="Times New Roman"/>
          <w:b w:val="false"/>
          <w:i w:val="false"/>
          <w:color w:val="000000"/>
          <w:sz w:val="24"/>
          <w:lang w:val="pl-PL"/>
        </w:rPr>
        <w:t>4.</w:t>
      </w:r>
      <w:r>
        <w:rPr>
          <w:rFonts w:ascii="Times New Roman"/>
          <w:b w:val="false"/>
          <w:i w:val="false"/>
          <w:color w:val="000000"/>
          <w:sz w:val="24"/>
          <w:lang w:val="pl-PL"/>
        </w:rPr>
        <w:t> Do zmiany porządku obrad sesji zwołanej w trybie określonym w ust. 3 stosuje się przepis ust. 1a, z tym że dodatkowo wymagana jest zgoda wnioskodawcy.</w:t>
      </w:r>
    </w:p>
    <w:p>
      <w:pPr>
        <w:spacing w:before="26" w:after="0"/>
        <w:ind w:left="0"/>
        <w:jc w:val="left"/>
        <w:textAlignment w:val="auto"/>
      </w:pPr>
      <w:r>
        <w:rPr>
          <w:rFonts w:ascii="Times New Roman"/>
          <w:b w:val="false"/>
          <w:i w:val="false"/>
          <w:color w:val="000000"/>
          <w:sz w:val="24"/>
          <w:lang w:val="pl-PL"/>
        </w:rPr>
        <w:t>5.</w:t>
      </w:r>
      <w:r>
        <w:rPr>
          <w:rFonts w:ascii="Times New Roman"/>
          <w:b w:val="false"/>
          <w:i w:val="false"/>
          <w:color w:val="000000"/>
          <w:sz w:val="24"/>
          <w:lang w:val="pl-PL"/>
        </w:rPr>
        <w:t> Na wniosek wójta przewodniczący rady gminy jest obowiązany wprowadzić do porządku obrad najbliższej sesji rady gminy projekt uchwały, jeżeli wpłynął on do rady gminy co najmniej 7 dni przed dniem rozpoczęcia sesji rady.</w:t>
      </w:r>
    </w:p>
    <w:p>
      <w:pPr>
        <w:spacing w:before="26" w:after="0"/>
        <w:ind w:left="0"/>
        <w:jc w:val="left"/>
        <w:textAlignment w:val="auto"/>
      </w:pPr>
      <w:r>
        <w:rPr>
          <w:rFonts w:ascii="Times New Roman"/>
          <w:b w:val="false"/>
          <w:i w:val="false"/>
          <w:color w:val="000000"/>
          <w:sz w:val="24"/>
          <w:lang w:val="pl-PL"/>
        </w:rPr>
        <w:t>6.</w:t>
      </w:r>
      <w:r>
        <w:rPr>
          <w:rFonts w:ascii="Times New Roman"/>
          <w:b w:val="false"/>
          <w:i w:val="false"/>
          <w:color w:val="000000"/>
          <w:sz w:val="24"/>
          <w:lang w:val="pl-PL"/>
        </w:rPr>
        <w:t> Na wniosek klubu radnych przewodniczący rady gminy jest obowiązany wprowadzić do porządku obrad najbliższej sesji rady gminy projekt uchwały, zgłoszony przez klub radnych, jeżeli wpłynął on do rady gminy co najmniej 7 dni przed dniem rozpoczęcia sesji rady. W trybie, o którym mowa w zdaniu pierwszym, każdy klub radnych może zgłosić nie więcej niż jeden projekt uchwały na każdą kolejną sesję rady gminy.</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21.</w:t>
      </w:r>
      <w:r>
        <w:rPr>
          <w:rFonts w:ascii="Times New Roman"/>
          <w:b/>
          <w:i w:val="false"/>
          <w:color w:val="000000"/>
          <w:sz w:val="24"/>
          <w:lang w:val="pl-PL"/>
        </w:rPr>
        <w:t xml:space="preserve"> [Stałe i doraźne komisje rady gminy]</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Rada gminy ze swojego grona może powoływać stałe i doraźne komisje do określonych zadań, ustalając przedmiot działania oraz skład osobowy.</w:t>
      </w: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(uchylony).</w:t>
      </w:r>
    </w:p>
    <w:p>
      <w:pPr>
        <w:spacing w:before="26" w:after="0"/>
        <w:ind w:left="0"/>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Komisje podlegają radzie gminy, przedkładają jej plan pracy oraz sprawozdania z działalności.</w:t>
      </w:r>
    </w:p>
    <w:p>
      <w:pPr>
        <w:spacing w:before="26" w:after="0"/>
        <w:ind w:left="0"/>
        <w:jc w:val="left"/>
        <w:textAlignment w:val="auto"/>
      </w:pPr>
      <w:r>
        <w:rPr>
          <w:rFonts w:ascii="Times New Roman"/>
          <w:b w:val="false"/>
          <w:i w:val="false"/>
          <w:color w:val="000000"/>
          <w:sz w:val="24"/>
          <w:lang w:val="pl-PL"/>
        </w:rPr>
        <w:t>4.</w:t>
      </w:r>
      <w:r>
        <w:rPr>
          <w:rFonts w:ascii="Times New Roman"/>
          <w:b w:val="false"/>
          <w:i w:val="false"/>
          <w:color w:val="000000"/>
          <w:sz w:val="24"/>
          <w:lang w:val="pl-PL"/>
        </w:rPr>
        <w:t> W posiedzeniach komisji mogą uczestniczyć radni niebędący jej członkami. Mogą oni zabierać głos w dyskusji i składać wnioski bez prawa udziału w głosowaniu.</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21a.</w:t>
      </w:r>
      <w:r>
        <w:rPr>
          <w:rFonts w:ascii="Times New Roman"/>
          <w:b/>
          <w:i w:val="false"/>
          <w:color w:val="000000"/>
          <w:sz w:val="24"/>
          <w:lang w:val="pl-PL"/>
        </w:rPr>
        <w:t xml:space="preserve"> [Polecenia służbowe wydawane przez przewodniczącego rady gminy]</w:t>
      </w:r>
    </w:p>
    <w:p>
      <w:pPr>
        <w:spacing w:after="0"/>
        <w:ind w:left="0"/>
        <w:jc w:val="left"/>
        <w:textAlignment w:val="auto"/>
      </w:pPr>
      <w:r>
        <w:rPr>
          <w:rFonts w:ascii="Times New Roman"/>
          <w:b w:val="false"/>
          <w:i w:val="false"/>
          <w:color w:val="000000"/>
          <w:sz w:val="24"/>
          <w:lang w:val="pl-PL"/>
        </w:rPr>
        <w:t> Przewodniczący rady gminy w związku z realizacją swoich obowiązków może wydawać polecenia służbowe pracownikom urzędu gminy wykonującym zadania organizacyjne, prawne oraz inne zadania związane z funkcjonowaniem rady gminy, komisji i radnych. W tym przypadku przewodniczący rady gminy wykonuje uprawnienia zwierzchnika służbowego w stosunku do pracowników, o których mowa w zdaniu pierwszym.</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22.</w:t>
      </w:r>
      <w:r>
        <w:rPr>
          <w:rFonts w:ascii="Times New Roman"/>
          <w:b/>
          <w:i w:val="false"/>
          <w:color w:val="000000"/>
          <w:sz w:val="24"/>
          <w:lang w:val="pl-PL"/>
        </w:rPr>
        <w:t xml:space="preserve"> [Statut gminy. Ogłoszenie statutu]</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Organizację wewnętrzną oraz tryb pracy organów gminy określa statut gminy.</w:t>
      </w: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Statut gminy podlega ogłoszeniu w wojewódzkim dzienniku urzędowym.</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23.</w:t>
      </w:r>
      <w:r>
        <w:rPr>
          <w:rFonts w:ascii="Times New Roman"/>
          <w:b/>
          <w:i w:val="false"/>
          <w:color w:val="000000"/>
          <w:sz w:val="24"/>
          <w:lang w:val="pl-PL"/>
        </w:rPr>
        <w:t xml:space="preserve"> [Status prawny radnego. Kluby radnych]</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Radny obowiązany jest kierować się dobrem wspólnoty samorządowej gminy. Radny utrzymuje stałą więź z mieszkańcami oraz ich organizacjami, a w szczególności przyjmuje zgłaszane przez mieszkańców gminy postulaty i przedstawia je organom gminy do rozpatrzenia, nie jest jednak związany instrukcjami wyborców.</w:t>
      </w: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Radni mogą tworzyć kluby radnych.</w:t>
      </w:r>
    </w:p>
    <w:p>
      <w:pPr>
        <w:spacing w:before="26" w:after="0"/>
        <w:ind w:left="0"/>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Klub radnych tworzy co najmniej 3 radnych.</w:t>
      </w:r>
    </w:p>
    <w:p>
      <w:pPr>
        <w:spacing w:before="26" w:after="0"/>
        <w:ind w:left="0"/>
        <w:jc w:val="left"/>
        <w:textAlignment w:val="auto"/>
      </w:pPr>
      <w:r>
        <w:rPr>
          <w:rFonts w:ascii="Times New Roman"/>
          <w:b w:val="false"/>
          <w:i w:val="false"/>
          <w:color w:val="000000"/>
          <w:sz w:val="24"/>
          <w:lang w:val="pl-PL"/>
        </w:rPr>
        <w:t>4.</w:t>
      </w:r>
      <w:r>
        <w:rPr>
          <w:rFonts w:ascii="Times New Roman"/>
          <w:b w:val="false"/>
          <w:i w:val="false"/>
          <w:color w:val="000000"/>
          <w:sz w:val="24"/>
          <w:lang w:val="pl-PL"/>
        </w:rPr>
        <w:t> Zasady działania klubów radnych określa statut gminy.</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23a.</w:t>
      </w:r>
      <w:r>
        <w:rPr>
          <w:rFonts w:ascii="Times New Roman"/>
          <w:b/>
          <w:i w:val="false"/>
          <w:color w:val="000000"/>
          <w:sz w:val="24"/>
          <w:lang w:val="pl-PL"/>
        </w:rPr>
        <w:t xml:space="preserve"> [Ślubowanie radnego]</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Przed przystąpieniem do wykonywania mandatu radni składają ślubowanie:</w:t>
      </w:r>
    </w:p>
    <w:p>
      <w:pPr>
        <w:spacing w:before="25" w:after="0"/>
        <w:ind w:left="0"/>
        <w:jc w:val="left"/>
        <w:textAlignment w:val="auto"/>
      </w:pPr>
      <w:r>
        <w:rPr>
          <w:rFonts w:ascii="Times New Roman"/>
          <w:b w:val="false"/>
          <w:i w:val="false"/>
          <w:color w:val="000000"/>
          <w:sz w:val="24"/>
          <w:lang w:val="pl-PL"/>
        </w:rPr>
        <w:t>"Wierny Konstytucji i prawu Rzeczypospolitej Polskiej, ślubuję uroczyście obowiązki radnego sprawować godnie, rzetelnie i uczciwie, mając na względzie dobro mojej gminy i jej mieszkańców".</w:t>
      </w:r>
    </w:p>
    <w:p>
      <w:pPr>
        <w:spacing w:after="0"/>
        <w:ind w:left="0"/>
        <w:jc w:val="left"/>
        <w:textAlignment w:val="auto"/>
      </w:pP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Ślubowanie odbywa się w ten sposób, że po odczytaniu roty wywołani kolejno radni powstają i wypowiadają słowo "ślubuję". Ślubowanie może być złożone z dodaniem zdania: "Tak mi dopomóż Bóg".</w:t>
      </w:r>
    </w:p>
    <w:p>
      <w:pPr>
        <w:spacing w:before="26" w:after="0"/>
        <w:ind w:left="0"/>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Radni nieobecni na pierwszej sesji rady gminy oraz radni, którzy uzyskali mandat w czasie trwania kadencji, składają ślubowanie na pierwszej sesji, na której są obecni.</w:t>
      </w:r>
    </w:p>
    <w:p>
      <w:pPr>
        <w:spacing w:before="26" w:after="0"/>
        <w:ind w:left="0"/>
        <w:jc w:val="left"/>
        <w:textAlignment w:val="auto"/>
      </w:pPr>
      <w:r>
        <w:rPr>
          <w:rFonts w:ascii="Times New Roman"/>
          <w:b w:val="false"/>
          <w:i w:val="false"/>
          <w:color w:val="000000"/>
          <w:sz w:val="24"/>
          <w:lang w:val="pl-PL"/>
        </w:rPr>
        <w:t>4.</w:t>
      </w:r>
      <w:r>
        <w:rPr>
          <w:rFonts w:ascii="Times New Roman"/>
          <w:b w:val="false"/>
          <w:i w:val="false"/>
          <w:color w:val="000000"/>
          <w:sz w:val="24"/>
          <w:lang w:val="pl-PL"/>
        </w:rPr>
        <w:t> (uchylony).</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24.</w:t>
      </w:r>
      <w:r>
        <w:rPr>
          <w:rFonts w:ascii="Times New Roman"/>
          <w:b/>
          <w:i w:val="false"/>
          <w:color w:val="000000"/>
          <w:sz w:val="24"/>
          <w:lang w:val="pl-PL"/>
        </w:rPr>
        <w:t xml:space="preserve"> [Obowiązek radnego udziału w pracach; uprawnienia radnego; interpelacje i zapytania]</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Radny jest obowiązany brać udział w pracach rady gminy i jej komisji oraz innych instytucji samorządowych, do których został wybrany lub desygnowany.</w:t>
      </w: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xml:space="preserve"> W wykonywaniu mandatu radnego radny ma prawo, jeżeli nie narusza to dóbr osobistych innych osób, do uzyskiwania informacji i materiałów, wstępu do pomieszczeń, w których znajdują się te informacje i materiały, oraz wglądu w działalność urzędu gminy, a także spółek z udziałem gminy, spółek handlowych z udziałem gminnych osób prawnych, gminnych osób prawnych, oraz zakładów, przedsiębiorstw i innych gminnych jednostek organizacyjnych, z zachowaniem </w:t>
      </w:r>
      <w:r>
        <w:rPr>
          <w:rFonts w:ascii="Times New Roman"/>
          <w:b w:val="false"/>
          <w:i w:val="false"/>
          <w:color w:val="1b1b1b"/>
          <w:sz w:val="24"/>
          <w:lang w:val="pl-PL"/>
        </w:rPr>
        <w:t>przepisów</w:t>
      </w:r>
      <w:r>
        <w:rPr>
          <w:rFonts w:ascii="Times New Roman"/>
          <w:b w:val="false"/>
          <w:i w:val="false"/>
          <w:color w:val="000000"/>
          <w:sz w:val="24"/>
          <w:lang w:val="pl-PL"/>
        </w:rPr>
        <w:t xml:space="preserve"> o tajemnicy prawnie chronionej.</w:t>
      </w:r>
    </w:p>
    <w:p>
      <w:pPr>
        <w:spacing w:before="26" w:after="0"/>
        <w:ind w:left="0"/>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W sprawach dotyczących gminy radni mogą kierować interpelacje i zapytania do wójta.</w:t>
      </w:r>
    </w:p>
    <w:p>
      <w:pPr>
        <w:spacing w:before="26" w:after="0"/>
        <w:ind w:left="0"/>
        <w:jc w:val="left"/>
        <w:textAlignment w:val="auto"/>
      </w:pPr>
      <w:r>
        <w:rPr>
          <w:rFonts w:ascii="Times New Roman"/>
          <w:b w:val="false"/>
          <w:i w:val="false"/>
          <w:color w:val="000000"/>
          <w:sz w:val="24"/>
          <w:lang w:val="pl-PL"/>
        </w:rPr>
        <w:t>4.</w:t>
      </w:r>
      <w:r>
        <w:rPr>
          <w:rFonts w:ascii="Times New Roman"/>
          <w:b w:val="false"/>
          <w:i w:val="false"/>
          <w:color w:val="000000"/>
          <w:sz w:val="24"/>
          <w:lang w:val="pl-PL"/>
        </w:rPr>
        <w:t> Interpelacja dotyczy spraw o istotnym znaczeniu dla gminy. Interpelacja powinna zawierać krótkie przedstawienie stanu faktycznego będącego jej przedmiotem oraz wynikające z niej pytania.</w:t>
      </w:r>
    </w:p>
    <w:p>
      <w:pPr>
        <w:spacing w:before="26" w:after="0"/>
        <w:ind w:left="0"/>
        <w:jc w:val="left"/>
        <w:textAlignment w:val="auto"/>
      </w:pPr>
      <w:r>
        <w:rPr>
          <w:rFonts w:ascii="Times New Roman"/>
          <w:b w:val="false"/>
          <w:i w:val="false"/>
          <w:color w:val="000000"/>
          <w:sz w:val="24"/>
          <w:lang w:val="pl-PL"/>
        </w:rPr>
        <w:t>5.</w:t>
      </w:r>
      <w:r>
        <w:rPr>
          <w:rFonts w:ascii="Times New Roman"/>
          <w:b w:val="false"/>
          <w:i w:val="false"/>
          <w:color w:val="000000"/>
          <w:sz w:val="24"/>
          <w:lang w:val="pl-PL"/>
        </w:rPr>
        <w:t> Zapytania składa się w sprawach aktualnych problemów gminy, a także w celu uzyskania informacji o konkretnym stanie faktycznym. Przepis ust. 4 zdanie drugie stosuje się odpowiednio.</w:t>
      </w:r>
    </w:p>
    <w:p>
      <w:pPr>
        <w:spacing w:before="26" w:after="0"/>
        <w:ind w:left="0"/>
        <w:jc w:val="left"/>
        <w:textAlignment w:val="auto"/>
      </w:pPr>
      <w:r>
        <w:rPr>
          <w:rFonts w:ascii="Times New Roman"/>
          <w:b w:val="false"/>
          <w:i w:val="false"/>
          <w:color w:val="000000"/>
          <w:sz w:val="24"/>
          <w:lang w:val="pl-PL"/>
        </w:rPr>
        <w:t>6.</w:t>
      </w:r>
      <w:r>
        <w:rPr>
          <w:rFonts w:ascii="Times New Roman"/>
          <w:b w:val="false"/>
          <w:i w:val="false"/>
          <w:color w:val="000000"/>
          <w:sz w:val="24"/>
          <w:lang w:val="pl-PL"/>
        </w:rPr>
        <w:t> Interpelacje i zapytania składane są na piśmie do przewodniczącego rady, który przekazuje je niezwłocznie wójtowi. Wójt, lub osoba przez niego wyznaczona, jest zobowiązana udzielić odpowiedzi na piśmie nie później niż w terminie 14 dni od dnia otrzymania interpelacji lub zapytania.</w:t>
      </w:r>
    </w:p>
    <w:p>
      <w:pPr>
        <w:spacing w:before="26" w:after="0"/>
        <w:ind w:left="0"/>
        <w:jc w:val="left"/>
        <w:textAlignment w:val="auto"/>
      </w:pPr>
      <w:r>
        <w:rPr>
          <w:rFonts w:ascii="Times New Roman"/>
          <w:b w:val="false"/>
          <w:i w:val="false"/>
          <w:color w:val="000000"/>
          <w:sz w:val="24"/>
          <w:lang w:val="pl-PL"/>
        </w:rPr>
        <w:t>7.</w:t>
      </w:r>
      <w:r>
        <w:rPr>
          <w:rFonts w:ascii="Times New Roman"/>
          <w:b w:val="false"/>
          <w:i w:val="false"/>
          <w:color w:val="000000"/>
          <w:sz w:val="24"/>
          <w:lang w:val="pl-PL"/>
        </w:rPr>
        <w:t> Treść interpelacji i zapytań oraz udzielonych odpowiedzi podawana jest do publicznej wiadomości poprzez niezwłoczną publikację w Biuletynie Informacji Publicznej i na stronie internetowej gminy, oraz w inny sposób zwyczajowo przyjęty.</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24a.</w:t>
      </w:r>
      <w:r>
        <w:rPr>
          <w:rFonts w:ascii="Times New Roman"/>
          <w:b/>
          <w:i w:val="false"/>
          <w:color w:val="000000"/>
          <w:sz w:val="24"/>
          <w:lang w:val="pl-PL"/>
        </w:rPr>
        <w:t xml:space="preserve"> [Zakaz zatrudnienia radnego]</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Z radnym nie może być nawiązywany stosunek pracy w urzędzie gminy, w której radny uzyskał mandat.</w:t>
      </w: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Radny nie może pełnić funkcji kierownika gminnej jednostki organizacyjnej oraz jego zastępcy.</w:t>
      </w:r>
    </w:p>
    <w:p>
      <w:pPr>
        <w:spacing w:before="26" w:after="0"/>
        <w:ind w:left="0"/>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(uchylony).</w:t>
      </w:r>
    </w:p>
    <w:p>
      <w:pPr>
        <w:spacing w:before="26" w:after="0"/>
        <w:ind w:left="0"/>
        <w:jc w:val="left"/>
        <w:textAlignment w:val="auto"/>
      </w:pPr>
      <w:r>
        <w:rPr>
          <w:rFonts w:ascii="Times New Roman"/>
          <w:b w:val="false"/>
          <w:i w:val="false"/>
          <w:color w:val="000000"/>
          <w:sz w:val="24"/>
          <w:lang w:val="pl-PL"/>
        </w:rPr>
        <w:t>4.</w:t>
      </w:r>
      <w:r>
        <w:rPr>
          <w:rFonts w:ascii="Times New Roman"/>
          <w:b w:val="false"/>
          <w:i w:val="false"/>
          <w:color w:val="000000"/>
          <w:sz w:val="24"/>
          <w:lang w:val="pl-PL"/>
        </w:rPr>
        <w:t> (uchylony).</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24b.</w:t>
      </w:r>
      <w:r>
        <w:rPr>
          <w:rFonts w:ascii="Times New Roman"/>
          <w:b/>
          <w:i w:val="false"/>
          <w:color w:val="000000"/>
          <w:sz w:val="24"/>
          <w:lang w:val="pl-PL"/>
        </w:rPr>
        <w:t xml:space="preserve"> [Zakaz wykonywania pracy przez radnego]</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Osoba wybrana na radnego nie może wykonywać pracy w ramach stosunku pracy w urzędzie gminy, w której uzyskała mandat, oraz wykonywać funkcji kierownika lub jego zastępcy w jednostce organizacyjnej tej gminy. Przed przystąpieniem do wykonywania mandatu osoba ta obowiązana jest złożyć wniosek o urlop bezpłatny w terminie 7 dni od dnia ogłoszenia wyników wyborów przez właściwy organ wyborczy.</w:t>
      </w: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Radny, o którym mowa w ust. 1, otrzymuje urlop bezpłatny na okres sprawowania mandatu oraz 3 miesięcy po jego wygaśnięciu.</w:t>
      </w:r>
    </w:p>
    <w:p>
      <w:pPr>
        <w:spacing w:before="26" w:after="0"/>
        <w:ind w:left="0"/>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Radny otrzymuje urlop bezpłatny bez względu na rodzaj i okres trwania stosunku pracy. Stosunek pracy zawarty na czas określony, który ustałby przed terminem zakończenia urlopu bezpłatnego, przedłuża się do 3 miesięcy po zakończeniu tego urlopu.</w:t>
      </w:r>
    </w:p>
    <w:p>
      <w:pPr>
        <w:spacing w:before="26" w:after="0"/>
        <w:ind w:left="0"/>
        <w:jc w:val="left"/>
        <w:textAlignment w:val="auto"/>
      </w:pPr>
      <w:r>
        <w:rPr>
          <w:rFonts w:ascii="Times New Roman"/>
          <w:b w:val="false"/>
          <w:i w:val="false"/>
          <w:color w:val="000000"/>
          <w:sz w:val="24"/>
          <w:lang w:val="pl-PL"/>
        </w:rPr>
        <w:t>4.</w:t>
      </w:r>
      <w:r>
        <w:rPr>
          <w:rFonts w:ascii="Times New Roman"/>
          <w:b w:val="false"/>
          <w:i w:val="false"/>
          <w:color w:val="000000"/>
          <w:sz w:val="24"/>
          <w:lang w:val="pl-PL"/>
        </w:rPr>
        <w:t> W przypadku radnego wykonującego funkcję kierownika lub jego zastępcy w jednostce organizacyjnej, przejętej lub utworzonej przez gminę w czasie kadencji, termin, o którym mowa w ust. 1, wynosi 6 miesięcy od dnia przejęcia lub utworzenia tej jednostki.</w:t>
      </w:r>
    </w:p>
    <w:p>
      <w:pPr>
        <w:spacing w:before="26" w:after="0"/>
        <w:ind w:left="0"/>
        <w:jc w:val="left"/>
        <w:textAlignment w:val="auto"/>
      </w:pPr>
      <w:r>
        <w:rPr>
          <w:rFonts w:ascii="Times New Roman"/>
          <w:b w:val="false"/>
          <w:i w:val="false"/>
          <w:color w:val="000000"/>
          <w:sz w:val="24"/>
          <w:lang w:val="pl-PL"/>
        </w:rPr>
        <w:t>5.</w:t>
      </w:r>
      <w:r>
        <w:rPr>
          <w:rFonts w:ascii="Times New Roman"/>
          <w:b w:val="false"/>
          <w:i w:val="false"/>
          <w:color w:val="000000"/>
          <w:sz w:val="24"/>
          <w:lang w:val="pl-PL"/>
        </w:rPr>
        <w:t> Niezłożenie przez radnego wniosku, o którym mowa w ust. 1, jest równoznaczne ze zrzeczeniem się mandatu.</w:t>
      </w:r>
    </w:p>
    <w:p>
      <w:pPr>
        <w:spacing w:before="26" w:after="0"/>
        <w:ind w:left="0"/>
        <w:jc w:val="left"/>
        <w:textAlignment w:val="auto"/>
      </w:pPr>
      <w:r>
        <w:rPr>
          <w:rFonts w:ascii="Times New Roman"/>
          <w:b w:val="false"/>
          <w:i w:val="false"/>
          <w:color w:val="000000"/>
          <w:sz w:val="24"/>
          <w:lang w:val="pl-PL"/>
        </w:rPr>
        <w:t>6.</w:t>
      </w:r>
      <w:r>
        <w:rPr>
          <w:rFonts w:ascii="Times New Roman"/>
          <w:b w:val="false"/>
          <w:i w:val="false"/>
          <w:color w:val="000000"/>
          <w:sz w:val="24"/>
          <w:lang w:val="pl-PL"/>
        </w:rPr>
        <w:t xml:space="preserve"> Przepisy ust. 1-5 stosuje się odpowiednio w przypadku obsadzenia mandatu rady w drodze uchwały rady gminy podjętej na podstawie przepisów </w:t>
      </w:r>
      <w:r>
        <w:rPr>
          <w:rFonts w:ascii="Times New Roman"/>
          <w:b w:val="false"/>
          <w:i w:val="false"/>
          <w:color w:val="1b1b1b"/>
          <w:sz w:val="24"/>
          <w:lang w:val="pl-PL"/>
        </w:rPr>
        <w:t>ustawy</w:t>
      </w:r>
      <w:r>
        <w:rPr>
          <w:rFonts w:ascii="Times New Roman"/>
          <w:b w:val="false"/>
          <w:i w:val="false"/>
          <w:color w:val="000000"/>
          <w:sz w:val="24"/>
          <w:lang w:val="pl-PL"/>
        </w:rPr>
        <w:t xml:space="preserve"> z dnia 5 stycznia 2011 r. - Kodeks wyborczy.</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24c.</w:t>
      </w:r>
      <w:r>
        <w:rPr>
          <w:rFonts w:ascii="Times New Roman"/>
          <w:b/>
          <w:i w:val="false"/>
          <w:color w:val="000000"/>
          <w:sz w:val="24"/>
          <w:lang w:val="pl-PL"/>
        </w:rPr>
        <w:t xml:space="preserve"> [Przywrócenie radnego do pracy po wygaśnięciu mandatu]</w:t>
      </w:r>
    </w:p>
    <w:p>
      <w:pPr>
        <w:spacing w:after="0"/>
        <w:ind w:left="0"/>
        <w:jc w:val="left"/>
        <w:textAlignment w:val="auto"/>
      </w:pPr>
      <w:r>
        <w:rPr>
          <w:rFonts w:ascii="Times New Roman"/>
          <w:b w:val="false"/>
          <w:i w:val="false"/>
          <w:color w:val="000000"/>
          <w:sz w:val="24"/>
          <w:lang w:val="pl-PL"/>
        </w:rPr>
        <w:t> Po wygaśnięciu mandatu pracodawca przywraca radnego do pracy na tym samym lub równorzędnym stanowisku pracy z wynagrodzeniem odpowiadającym wynagrodzeniu, jakie radny otrzymywałby, gdyby nie przysługujący urlop bezpłatny. Radny zgłasza gotowość przystąpienia do pracy w terminie 7 dni od dnia wygaśnięcia mandatu.</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24d.</w:t>
      </w:r>
      <w:r>
        <w:rPr>
          <w:rFonts w:ascii="Times New Roman"/>
          <w:b/>
          <w:i w:val="false"/>
          <w:color w:val="000000"/>
          <w:sz w:val="24"/>
          <w:lang w:val="pl-PL"/>
        </w:rPr>
        <w:t xml:space="preserve"> [Zakaz wykonywania pracy na podstawie umowy cywilnoprawnej]</w:t>
      </w:r>
    </w:p>
    <w:p>
      <w:pPr>
        <w:spacing w:after="0"/>
        <w:ind w:left="0"/>
        <w:jc w:val="left"/>
        <w:textAlignment w:val="auto"/>
      </w:pPr>
      <w:r>
        <w:rPr>
          <w:rFonts w:ascii="Times New Roman"/>
          <w:b w:val="false"/>
          <w:i w:val="false"/>
          <w:color w:val="000000"/>
          <w:sz w:val="24"/>
          <w:lang w:val="pl-PL"/>
        </w:rPr>
        <w:t> Wójt nie może powierzyć radnemu gminy, w której radny uzyskał mandat, wykonywania pracy na podstawie umowy cywilnoprawnej.</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24e.</w:t>
      </w:r>
      <w:r>
        <w:rPr>
          <w:rFonts w:ascii="Times New Roman"/>
          <w:b/>
          <w:i w:val="false"/>
          <w:color w:val="000000"/>
          <w:sz w:val="24"/>
          <w:lang w:val="pl-PL"/>
        </w:rPr>
        <w:t xml:space="preserve"> [Wykorzystywanie mandatu radnego]</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Radni nie mogą podejmować dodatkowych zajęć ani otrzymywać darowizn mogących podważyć zaufanie wyborców do wykonywania mandatu zgodnie z art. 23a ust. 1.</w:t>
      </w: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Radni nie mogą powoływać się na swój mandat w związku z podjętymi dodatkowymi zajęciami bądź działalnością gospodarczą prowadzoną na własny rachunek lub wspólnie z innymi osobami.</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24f.</w:t>
      </w:r>
      <w:r>
        <w:rPr>
          <w:rFonts w:ascii="Times New Roman"/>
          <w:b/>
          <w:i w:val="false"/>
          <w:color w:val="000000"/>
          <w:sz w:val="24"/>
          <w:lang w:val="pl-PL"/>
        </w:rPr>
        <w:t xml:space="preserve"> [Ograniczenie działalności gospodarczej radnego]</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Radni nie mogą prowadzić działalności gospodarczej na własny rachunek lub wspólnie z innymi osobami z wykorzystaniem mienia komunalnego gminy, w której radny uzyskał mandat, a także zarządzać taką działalnością lub być przedstawicielem czy pełnomocnikiem w prowadzeniu takiej działalności.</w:t>
      </w:r>
    </w:p>
    <w:p>
      <w:pPr>
        <w:spacing w:before="26" w:after="0"/>
        <w:ind w:left="0"/>
        <w:jc w:val="left"/>
        <w:textAlignment w:val="auto"/>
      </w:pPr>
      <w:r>
        <w:rPr>
          <w:rFonts w:ascii="Times New Roman"/>
          <w:b w:val="false"/>
          <w:i w:val="false"/>
          <w:color w:val="000000"/>
          <w:sz w:val="24"/>
          <w:lang w:val="pl-PL"/>
        </w:rPr>
        <w:t>1a.</w:t>
      </w:r>
      <w:r>
        <w:rPr>
          <w:rFonts w:ascii="Times New Roman"/>
          <w:b w:val="false"/>
          <w:i w:val="false"/>
          <w:color w:val="000000"/>
          <w:sz w:val="24"/>
          <w:lang w:val="pl-PL"/>
        </w:rPr>
        <w:t xml:space="preserve"> Jeżeli radny przed rozpoczęciem wykonywania mandatu prowadził działalność gospodarczą, o której mowa w ust. 1, jest obowiązany do zaprzestania prowadzenia tej działalności gospodarczej w ciągu 3 miesięcy od dnia złożenia ślubowania. Niewypełnienie obowiązku, o którym mowa w zdaniu pierwszym, stanowi podstawę do stwierdzenia wygaśnięcia mandatu radnego w trybie </w:t>
      </w:r>
      <w:r>
        <w:rPr>
          <w:rFonts w:ascii="Times New Roman"/>
          <w:b w:val="false"/>
          <w:i w:val="false"/>
          <w:color w:val="1b1b1b"/>
          <w:sz w:val="24"/>
          <w:lang w:val="pl-PL"/>
        </w:rPr>
        <w:t>art. 383</w:t>
      </w:r>
      <w:r>
        <w:rPr>
          <w:rFonts w:ascii="Times New Roman"/>
          <w:b w:val="false"/>
          <w:i w:val="false"/>
          <w:color w:val="000000"/>
          <w:sz w:val="24"/>
          <w:lang w:val="pl-PL"/>
        </w:rPr>
        <w:t xml:space="preserve"> ustawy, o której mowa w art. 24b ust. 6.</w:t>
      </w: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Wójtowie, radni, małżonkowie wójtów, zastępców wójtów, radnych, sekretarzy gminy, skarbników gminy, kierowników jednostek organizacyjnych gminy, osób zarządzających i członków organów zarządzających gminnymi osobami prawnymi, a także osoby pozostające we wspólnym pożyciu z wójtami, zastępcami wójtów, radnymi, sekretarzami gminy, skarbnikami gminy, kierownikami jednostek organizacyjnych gminy, osobami zarządzającymi i członkami organów zarządzających gminnymi osobami prawnymi, nie mogą być członkami władz zarządzających lub kontrolnych i rewizyjnych ani pełnomocnikami spółek handlowych z udziałem gminnych osób prawnych lub przedsiębiorców, w których uczestniczą takie osoby. Wybór lub powołanie tych osób na te funkcje są z mocy prawa nieważne.</w:t>
      </w:r>
    </w:p>
    <w:p>
      <w:pPr>
        <w:spacing w:before="26" w:after="0"/>
        <w:ind w:left="0"/>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(uchylony).</w:t>
      </w:r>
    </w:p>
    <w:p>
      <w:pPr>
        <w:spacing w:before="26" w:after="0"/>
        <w:ind w:left="0"/>
        <w:jc w:val="left"/>
        <w:textAlignment w:val="auto"/>
      </w:pPr>
      <w:r>
        <w:rPr>
          <w:rFonts w:ascii="Times New Roman"/>
          <w:b w:val="false"/>
          <w:i w:val="false"/>
          <w:color w:val="000000"/>
          <w:sz w:val="24"/>
          <w:lang w:val="pl-PL"/>
        </w:rPr>
        <w:t>4.</w:t>
      </w:r>
      <w:r>
        <w:rPr>
          <w:rFonts w:ascii="Times New Roman"/>
          <w:b w:val="false"/>
          <w:i w:val="false"/>
          <w:color w:val="000000"/>
          <w:sz w:val="24"/>
          <w:lang w:val="pl-PL"/>
        </w:rPr>
        <w:t> Jeżeli wybór lub powołanie, o których mowa w ust. 2, nastąpiły przed rozpoczęciem wykonywania mandatu radnego albo dniem wyboru wójta lub przed zatrudnieniem na stanowisku sekretarza gminy, powołaniem na stanowisko zastępcy wójta, skarbnika gminy, kierownika jednostki organizacyjnej gminy oraz osoby zarządzającej i członka organu zarządzającego gminną osobą prawną, osoby, o których mowa w ust. 2, są obowiązane zrzec się stanowiska lub funkcji w terminie 3 miesięcy od dnia złożenia ślubowania przez radnego albo wójta czy też od dnia zatrudnienia na podstawie umowy o pracę lub powołania na stanowisko. W razie niezrzeczenia się stanowiska lub funkcji osoba, o której mowa w ust. 2, traci je z mocy prawa po upływie terminu, o którym mowa w zdaniu pierwszym.</w:t>
      </w:r>
    </w:p>
    <w:p>
      <w:pPr>
        <w:spacing w:before="26" w:after="0"/>
        <w:ind w:left="0"/>
        <w:jc w:val="left"/>
        <w:textAlignment w:val="auto"/>
      </w:pPr>
      <w:r>
        <w:rPr>
          <w:rFonts w:ascii="Times New Roman"/>
          <w:b w:val="false"/>
          <w:i w:val="false"/>
          <w:color w:val="000000"/>
          <w:sz w:val="24"/>
          <w:lang w:val="pl-PL"/>
        </w:rPr>
        <w:t>5.</w:t>
      </w:r>
      <w:r>
        <w:rPr>
          <w:rFonts w:ascii="Times New Roman"/>
          <w:b w:val="false"/>
          <w:i w:val="false"/>
          <w:color w:val="000000"/>
          <w:sz w:val="24"/>
          <w:lang w:val="pl-PL"/>
        </w:rPr>
        <w:t> Radni nie mogą posiadać pakietu większego niż 10% udziałów lub akcji w spółkach prawa handlowego z udziałem gminnych osób prawnych lub przedsiębiorców, w których uczestniczą takie osoby. Udziały lub akcje przekraczające ten pakiet powinny być zbyte przez radnego przed pierwszą sesją rady gminy, a w razie niezbycia ich nie uczestniczą one przez okres sprawowania mandatu i dwóch lat po jego wygaśnięciu w wykonywaniu przysługujących im uprawnień (prawa głosu, prawa do dywidendy, prawa do podziału majątku, prawa poboru).</w:t>
      </w:r>
    </w:p>
    <w:p>
      <w:pPr>
        <w:spacing w:before="26" w:after="0"/>
        <w:ind w:left="0"/>
        <w:jc w:val="left"/>
        <w:textAlignment w:val="auto"/>
      </w:pPr>
      <w:r>
        <w:rPr>
          <w:rFonts w:ascii="Times New Roman"/>
          <w:b w:val="false"/>
          <w:i w:val="false"/>
          <w:color w:val="000000"/>
          <w:sz w:val="24"/>
          <w:lang w:val="pl-PL"/>
        </w:rPr>
        <w:t>6.</w:t>
      </w:r>
      <w:r>
        <w:rPr>
          <w:rFonts w:ascii="Times New Roman"/>
          <w:b w:val="false"/>
          <w:i w:val="false"/>
          <w:color w:val="000000"/>
          <w:sz w:val="24"/>
          <w:lang w:val="pl-PL"/>
        </w:rPr>
        <w:t> (uchylony).</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24fa.</w:t>
      </w:r>
      <w:r>
        <w:rPr>
          <w:rFonts w:ascii="Times New Roman"/>
          <w:b/>
          <w:i w:val="false"/>
          <w:color w:val="000000"/>
          <w:sz w:val="24"/>
          <w:lang w:val="pl-PL"/>
        </w:rPr>
        <w:t xml:space="preserve"> [Ograniczenie możliwości najmu lub kupna lokali mieszkalnych stanowiących mieszkaniowy zasób gminy lub utworzonych przez społeczną inicjatywę mieszkaniową]</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Wójtowie, zastępcy wójtów, radni, małżonkowie wójtów, zastępców wójtów, radnych, a także osoby pozostające we wspólnym pożyciu z wójtami, zastępcami wójtów, radnymi, nie mogą:</w:t>
      </w:r>
    </w:p>
    <w:p>
      <w:pPr>
        <w:spacing w:before="26" w:after="0"/>
        <w:ind w:left="373"/>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xml:space="preserve"> zawierać umów najmu lokali mieszkalnych stanowiących mieszkaniowy zasób gminy, w której wójt lub zastępca wójta pełni funkcję lub radny uzyskał mandat, ani umów najmu lokali mieszkalnych utworzonych w wyniku realizacji przedsięwzięcia inwestycyjno-budowlanego przez społeczną inicjatywę mieszkaniową, o której mowa w </w:t>
      </w:r>
      <w:r>
        <w:rPr>
          <w:rFonts w:ascii="Times New Roman"/>
          <w:b w:val="false"/>
          <w:i w:val="false"/>
          <w:color w:val="1b1b1b"/>
          <w:sz w:val="24"/>
          <w:lang w:val="pl-PL"/>
        </w:rPr>
        <w:t>art. 23</w:t>
      </w:r>
      <w:r>
        <w:rPr>
          <w:rFonts w:ascii="Times New Roman"/>
          <w:b w:val="false"/>
          <w:i w:val="false"/>
          <w:color w:val="000000"/>
          <w:sz w:val="24"/>
          <w:lang w:val="pl-PL"/>
        </w:rPr>
        <w:t xml:space="preserve"> ustawy z dnia 26 października 1995 r. o społecznych formach rozwoju mieszkalnictwa (Dz. U. z 2024 r. poz. 1440 i 1635), w której gmina dysponuje ponad 50% głosów na zgromadzeniu wspólników lub na walnym zgromadzeniu;</w:t>
      </w:r>
    </w:p>
    <w:p>
      <w:pPr>
        <w:spacing w:before="26" w:after="0"/>
        <w:ind w:left="373"/>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xml:space="preserve"> nabywać własności lokali mieszkalnych stanowiących mieszkaniowy zasób gminy, w której wójt lub zastępca wójta pełni funkcję lub radny uzyskał mandat, ani własności lokali mieszkalnych utworzonych w wyniku realizacji przedsięwzięcia inwestycyjno-budowlanego przez społeczną inicjatywę mieszkaniową będącą samorządową osobą prawną.</w:t>
      </w:r>
    </w:p>
    <w:p>
      <w:pPr>
        <w:spacing w:after="0"/>
        <w:ind w:left="0"/>
        <w:jc w:val="left"/>
        <w:textAlignment w:val="auto"/>
      </w:pP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xml:space="preserve"> W przypadku umowy najmu zawieranej w związku z umową partycypacji w kosztach budowy lokalu mieszkalnego, o której mowa w </w:t>
      </w:r>
      <w:r>
        <w:rPr>
          <w:rFonts w:ascii="Times New Roman"/>
          <w:b w:val="false"/>
          <w:i w:val="false"/>
          <w:color w:val="1b1b1b"/>
          <w:sz w:val="24"/>
          <w:lang w:val="pl-PL"/>
        </w:rPr>
        <w:t>art. 29a</w:t>
      </w:r>
      <w:r>
        <w:rPr>
          <w:rFonts w:ascii="Times New Roman"/>
          <w:b w:val="false"/>
          <w:i w:val="false"/>
          <w:color w:val="000000"/>
          <w:sz w:val="24"/>
          <w:lang w:val="pl-PL"/>
        </w:rPr>
        <w:t xml:space="preserve"> ustawy z dnia 26 października 1995 r. o społecznych formach rozwoju mieszkalnictwa, zawartą przed dniem objęcia funkcji wójta, zastępcy wójta albo uzyskania mandatu radnego, przepisu ust. 1 pkt 1 nie stosuje się.</w:t>
      </w:r>
    </w:p>
    <w:p>
      <w:pPr>
        <w:spacing w:before="26" w:after="0"/>
        <w:ind w:left="0"/>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Przepisu ust. 1 pkt 1 nie stosuje się do najmu lokalu mieszkalnego wydzielonego przez radę gminy w zasobie mieszkaniowym do wynajmowania na czas trwania stosunku pracy, jeżeli umowa tego najmu zawierana jest z wójtem lub zastępcą wójta na czas pełnienia tej funkcji.</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24g.</w:t>
      </w:r>
    </w:p>
    <w:p>
      <w:pPr>
        <w:spacing w:after="0"/>
        <w:ind w:left="0"/>
        <w:jc w:val="left"/>
        <w:textAlignment w:val="auto"/>
      </w:pPr>
      <w:r>
        <w:rPr>
          <w:rFonts w:ascii="Times New Roman"/>
          <w:b w:val="false"/>
          <w:i w:val="false"/>
          <w:color w:val="000000"/>
          <w:sz w:val="24"/>
          <w:lang w:val="pl-PL"/>
        </w:rPr>
        <w:t> (uchylony).</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24h.</w:t>
      </w:r>
      <w:r>
        <w:rPr>
          <w:rFonts w:ascii="Times New Roman"/>
          <w:b/>
          <w:i w:val="false"/>
          <w:color w:val="000000"/>
          <w:sz w:val="24"/>
          <w:lang w:val="pl-PL"/>
        </w:rPr>
        <w:t xml:space="preserve"> [Oświadczenia majątkowe]</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Radny, wójt, zastępca wójta, sekretarz gminy, skarbnik gminy, kierownik jednostki organizacyjnej gminy, osoba zarządzająca i członek organu zarządzającego gminną osobą prawną oraz osoba wydająca decyzje administracyjne w imieniu wójta są obowiązani do złożenia oświadczenia o swoim stanie majątkowym, zwanego dalej "oświadczeniem majątkowym". Oświadczenie majątkowe dotyczy ich majątku odrębnego oraz majątku objętego małżeńską wspólnością majątkową. Oświadczenie majątkowe zawiera informacje o:</w:t>
      </w:r>
    </w:p>
    <w:p>
      <w:pPr>
        <w:spacing w:before="26" w:after="0"/>
        <w:ind w:left="373"/>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xml:space="preserve"> zasobach pieniężnych, nieruchomościach, udziałach i akcjach w spółkach handlowych oraz o nabyciu od Skarbu Państwa, innej państwowej osoby prawnej, jednostek samorządu terytorialnego, ich związków, komunalnej osoby prawnej lub od związku metropolitalnego mienia, które podlegało zbyciu w drodze przetargu, a także dane o prowadzeniu działalności gospodarczej oraz dotyczące zajmowania stanowisk w spółkach handlowych;</w:t>
      </w:r>
    </w:p>
    <w:p>
      <w:pPr>
        <w:spacing w:before="26" w:after="0"/>
        <w:ind w:left="373"/>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xml:space="preserve"> dochodach osiąganych z tytułu zatrudnienia lub innej działalności zarobkowej lub zajęć, z podaniem kwot uzyskiwanych z każdego tytułu;</w:t>
      </w:r>
    </w:p>
    <w:p>
      <w:pPr>
        <w:spacing w:before="26" w:after="0"/>
        <w:ind w:left="373"/>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xml:space="preserve"> mieniu ruchomym o wartości powyżej 10 000 złotych;</w:t>
      </w:r>
    </w:p>
    <w:p>
      <w:pPr>
        <w:spacing w:before="26" w:after="0"/>
        <w:ind w:left="373"/>
        <w:jc w:val="left"/>
        <w:textAlignment w:val="auto"/>
      </w:pPr>
      <w:r>
        <w:rPr>
          <w:rFonts w:ascii="Times New Roman"/>
          <w:b w:val="false"/>
          <w:i w:val="false"/>
          <w:color w:val="000000"/>
          <w:sz w:val="24"/>
          <w:lang w:val="pl-PL"/>
        </w:rPr>
        <w:t>4)</w:t>
      </w:r>
      <w:r>
        <w:rPr>
          <w:rFonts w:ascii="Times New Roman"/>
          <w:b w:val="false"/>
          <w:i w:val="false"/>
          <w:color w:val="000000"/>
          <w:sz w:val="24"/>
          <w:lang w:val="pl-PL"/>
        </w:rPr>
        <w:t xml:space="preserve"> zobowiązaniach pieniężnych o wartości powyżej 10 000 złotych, w tym zaciągniętych kredytach i pożyczkach oraz warunkach, na jakich zostały udzielone.</w:t>
      </w:r>
    </w:p>
    <w:p>
      <w:pPr>
        <w:spacing w:after="0"/>
        <w:ind w:left="0"/>
        <w:jc w:val="left"/>
        <w:textAlignment w:val="auto"/>
      </w:pP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Osoba składająca oświadczenie majątkowe określa w nim przynależność poszczególnych składników majątkowych, dochodów i zobowiązań do majątku odrębnego i majątku objętego małżeńską wspólnością majątkową.</w:t>
      </w:r>
    </w:p>
    <w:p>
      <w:pPr>
        <w:spacing w:before="26" w:after="0"/>
        <w:ind w:left="0"/>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Oświadczenie majątkowe wraz z kopią swojego zeznania o wysokości osiągniętego dochodu w roku podatkowym (PIT) za rok poprzedni i jego korektą składają w dwóch egzemplarzach:</w:t>
      </w:r>
    </w:p>
    <w:p>
      <w:pPr>
        <w:spacing w:before="26" w:after="0"/>
        <w:ind w:left="373"/>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xml:space="preserve"> radny - przewodniczącemu rady gminy;</w:t>
      </w:r>
    </w:p>
    <w:p>
      <w:pPr>
        <w:spacing w:before="26" w:after="0"/>
        <w:ind w:left="373"/>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xml:space="preserve"> wójt, przewodniczący rady gminy - wojewodzie;</w:t>
      </w:r>
    </w:p>
    <w:p>
      <w:pPr>
        <w:spacing w:before="26" w:after="0"/>
        <w:ind w:left="373"/>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xml:space="preserve"> zastępca wójta, sekretarz gminy, skarbnik gminy, kierownik jednostki organizacyjnej gminy, osoba zarządzająca i członek organu zarządzającego gminną osobą prawną oraz osoba wydająca decyzje administracyjne w imieniu wójta - wójtowi.</w:t>
      </w:r>
    </w:p>
    <w:p>
      <w:pPr>
        <w:spacing w:before="26" w:after="0"/>
        <w:ind w:left="0"/>
        <w:jc w:val="left"/>
        <w:textAlignment w:val="auto"/>
      </w:pPr>
      <w:r>
        <w:rPr>
          <w:rFonts w:ascii="Times New Roman"/>
          <w:b w:val="false"/>
          <w:i w:val="false"/>
          <w:color w:val="000000"/>
          <w:sz w:val="24"/>
          <w:lang w:val="pl-PL"/>
        </w:rPr>
        <w:t>4.</w:t>
      </w:r>
      <w:r>
        <w:rPr>
          <w:rFonts w:ascii="Times New Roman"/>
          <w:b w:val="false"/>
          <w:i w:val="false"/>
          <w:color w:val="000000"/>
          <w:sz w:val="24"/>
          <w:lang w:val="pl-PL"/>
        </w:rPr>
        <w:t> Radny i wójt składają pierwsze oświadczenie majątkowe w terminie 30 dni od dnia złożenia ślubowania. Do pierwszego oświadczenia majątkowego radny jest obowiązany dołączyć informację o sposobie i terminie zaprzestania prowadzenia działalności gospodarczej z wykorzystaniem mienia gminy, w której uzyskał mandat, a wójt informację o zaprzestaniu prowadzenia działalności gospodarczej, jeżeli taką działalność prowadzili przed dniem wyboru. Kolejne oświadczenia majątkowe są składane przez radnego i wójta co roku do dnia 30 kwietnia, według stanu na dzień 31 grudnia roku poprzedniego, oraz na 2 miesiące przed upływem kadencji.</w:t>
      </w:r>
    </w:p>
    <w:p>
      <w:pPr>
        <w:spacing w:before="26" w:after="0"/>
        <w:ind w:left="0"/>
        <w:jc w:val="left"/>
        <w:textAlignment w:val="auto"/>
      </w:pPr>
      <w:r>
        <w:rPr>
          <w:rFonts w:ascii="Times New Roman"/>
          <w:b w:val="false"/>
          <w:i w:val="false"/>
          <w:color w:val="000000"/>
          <w:sz w:val="24"/>
          <w:lang w:val="pl-PL"/>
        </w:rPr>
        <w:t>5.</w:t>
      </w:r>
      <w:r>
        <w:rPr>
          <w:rFonts w:ascii="Times New Roman"/>
          <w:b w:val="false"/>
          <w:i w:val="false"/>
          <w:color w:val="000000"/>
          <w:sz w:val="24"/>
          <w:lang w:val="pl-PL"/>
        </w:rPr>
        <w:t> Zastępca wójta, sekretarz gminy, skarbnik gminy, kierownik jednostki organizacyjnej gminy, osoba zarządzająca i członek organu zarządzającego gminną osobą prawną oraz osoba wydająca decyzje administracyjne w imieniu wójta składają pierwsze oświadczenie majątkowe w terminie 30 dni od dnia powołania na stanowisko lub od dnia zatrudnienia. Do pierwszego oświadczenia majątkowego zastępca wójta, sekretarz gminy, skarbnik gminy, kierownik jednostki organizacyjnej gminy, osoba zarządzająca i członek organu zarządzającego gminną osobą prawną oraz osoba wydająca decyzje administracyjne w imieniu wójta są obowiązani dołączyć informację o sposobie i terminie zaprzestania prowadzenia działalności gospodarczej, jeżeli prowadzili ją przed dniem powołania lub zatrudnienia. Kolejne oświadczenia majątkowe są składane przez nich co roku do dnia 30 kwietnia, według stanu na dzień 31 grudnia roku poprzedniego, oraz w dniu odwołania ze stanowiska lub rozwiązania umowy o pracę.</w:t>
      </w:r>
    </w:p>
    <w:p>
      <w:pPr>
        <w:spacing w:before="26" w:after="0"/>
        <w:ind w:left="0"/>
        <w:jc w:val="left"/>
        <w:textAlignment w:val="auto"/>
      </w:pPr>
      <w:r>
        <w:rPr>
          <w:rFonts w:ascii="Times New Roman"/>
          <w:b w:val="false"/>
          <w:i w:val="false"/>
          <w:color w:val="000000"/>
          <w:sz w:val="24"/>
          <w:lang w:val="pl-PL"/>
        </w:rPr>
        <w:t>5a.</w:t>
      </w:r>
      <w:r>
        <w:rPr>
          <w:rFonts w:ascii="Times New Roman"/>
          <w:b w:val="false"/>
          <w:i w:val="false"/>
          <w:color w:val="000000"/>
          <w:sz w:val="24"/>
          <w:lang w:val="pl-PL"/>
        </w:rPr>
        <w:t> Jeżeli terminy określone w ust. 4 lub 5 nie zostaną dotrzymane, odpowiednio, przewodniczący rady gminy, wojewoda lub wójt w terminie 14 dni od dnia stwierdzenia niedotrzymania terminu wzywa osobę, która nie złożyła oświadczenia do jego niezwłocznego złożenia wyznaczając dodatkowy czternastodniowy termin. Termin ten liczy się od dnia skutecznego dostarczenia wezwania.</w:t>
      </w:r>
    </w:p>
    <w:p>
      <w:pPr>
        <w:spacing w:before="26" w:after="0"/>
        <w:ind w:left="0"/>
        <w:jc w:val="left"/>
        <w:textAlignment w:val="auto"/>
      </w:pPr>
      <w:r>
        <w:rPr>
          <w:rFonts w:ascii="Times New Roman"/>
          <w:b w:val="false"/>
          <w:i w:val="false"/>
          <w:color w:val="000000"/>
          <w:sz w:val="24"/>
          <w:lang w:val="pl-PL"/>
        </w:rPr>
        <w:t>6.</w:t>
      </w:r>
      <w:r>
        <w:rPr>
          <w:rFonts w:ascii="Times New Roman"/>
          <w:b w:val="false"/>
          <w:i w:val="false"/>
          <w:color w:val="000000"/>
          <w:sz w:val="24"/>
          <w:lang w:val="pl-PL"/>
        </w:rPr>
        <w:t> Analizy danych zawartych w oświadczeniu majątkowym dokonują osoby, którym złożono oświadczenie majątkowe. Osoby, którym złożono oświadczenie majątkowe, przekazują jeden egzemplarz urzędowi skarbowemu właściwemu ze względu na miejsce zamieszkania osoby składającej oświadczenie majątkowe. Oświadczenie majątkowe przechowuje się przez 6 lat.</w:t>
      </w:r>
    </w:p>
    <w:p>
      <w:pPr>
        <w:spacing w:before="26" w:after="0"/>
        <w:ind w:left="0"/>
        <w:jc w:val="left"/>
        <w:textAlignment w:val="auto"/>
      </w:pPr>
      <w:r>
        <w:rPr>
          <w:rFonts w:ascii="Times New Roman"/>
          <w:b w:val="false"/>
          <w:i w:val="false"/>
          <w:color w:val="000000"/>
          <w:sz w:val="24"/>
          <w:lang w:val="pl-PL"/>
        </w:rPr>
        <w:t>7.</w:t>
      </w:r>
      <w:r>
        <w:rPr>
          <w:rFonts w:ascii="Times New Roman"/>
          <w:b w:val="false"/>
          <w:i w:val="false"/>
          <w:color w:val="000000"/>
          <w:sz w:val="24"/>
          <w:lang w:val="pl-PL"/>
        </w:rPr>
        <w:t> Analizy danych zawartych w oświadczeniu majątkowym dokonuje również naczelnik urzędu skarbowego właściwy ze względu na miejsce zamieszkania osoby składającej oświadczenie majątkowe. Analizując oświadczenie majątkowe, naczelnik urzędu skarbowego uwzględnia również zeznanie o wysokości osiągniętego dochodu w roku podatkowym (PIT) małżonka osoby składającej oświadczenie.</w:t>
      </w:r>
    </w:p>
    <w:p>
      <w:pPr>
        <w:spacing w:before="26" w:after="0"/>
        <w:ind w:left="0"/>
        <w:jc w:val="left"/>
        <w:textAlignment w:val="auto"/>
      </w:pPr>
      <w:r>
        <w:rPr>
          <w:rFonts w:ascii="Times New Roman"/>
          <w:b w:val="false"/>
          <w:i w:val="false"/>
          <w:color w:val="000000"/>
          <w:sz w:val="24"/>
          <w:lang w:val="pl-PL"/>
        </w:rPr>
        <w:t>8.</w:t>
      </w:r>
      <w:r>
        <w:rPr>
          <w:rFonts w:ascii="Times New Roman"/>
          <w:b w:val="false"/>
          <w:i w:val="false"/>
          <w:color w:val="000000"/>
          <w:sz w:val="24"/>
          <w:lang w:val="pl-PL"/>
        </w:rPr>
        <w:t> Podmiot dokonujący analizy, o której mowa w ust. 6 i 7, jest uprawniony do porównania treści analizowanego oświadczenia majątkowego oraz załączonej kopii zeznania o wysokości osiągniętego dochodu w roku podatkowym (PIT) z treścią uprzednio złożonych oświadczeń majątkowych oraz z dołączonymi do nich kopiami zeznań o wysokości osiągniętego dochodu w roku podatkowym (PIT).</w:t>
      </w:r>
    </w:p>
    <w:p>
      <w:pPr>
        <w:spacing w:before="26" w:after="0"/>
        <w:ind w:left="0"/>
        <w:jc w:val="left"/>
        <w:textAlignment w:val="auto"/>
      </w:pPr>
      <w:r>
        <w:rPr>
          <w:rFonts w:ascii="Times New Roman"/>
          <w:b w:val="false"/>
          <w:i w:val="false"/>
          <w:color w:val="000000"/>
          <w:sz w:val="24"/>
          <w:lang w:val="pl-PL"/>
        </w:rPr>
        <w:t>9.</w:t>
      </w:r>
      <w:r>
        <w:rPr>
          <w:rFonts w:ascii="Times New Roman"/>
          <w:b w:val="false"/>
          <w:i w:val="false"/>
          <w:color w:val="000000"/>
          <w:sz w:val="24"/>
          <w:lang w:val="pl-PL"/>
        </w:rPr>
        <w:t> W przypadku podejrzenia, że osoba składająca oświadczenie majątkowe podała w nim nieprawdę lub zataiła prawdę, podmiot dokonujący analizy oświadczenia występuje do Centralnego Biura Antykorupcyjnego z wnioskiem o kontrolę jej oświadczenia majątkowego.</w:t>
      </w:r>
    </w:p>
    <w:p>
      <w:pPr>
        <w:spacing w:before="26" w:after="0"/>
        <w:ind w:left="0"/>
        <w:jc w:val="left"/>
        <w:textAlignment w:val="auto"/>
      </w:pPr>
      <w:r>
        <w:rPr>
          <w:rFonts w:ascii="Times New Roman"/>
          <w:b w:val="false"/>
          <w:i w:val="false"/>
          <w:color w:val="000000"/>
          <w:sz w:val="24"/>
          <w:lang w:val="pl-PL"/>
        </w:rPr>
        <w:t>10.</w:t>
      </w:r>
      <w:r>
        <w:rPr>
          <w:rFonts w:ascii="Times New Roman"/>
          <w:b w:val="false"/>
          <w:i w:val="false"/>
          <w:color w:val="000000"/>
          <w:sz w:val="24"/>
          <w:lang w:val="pl-PL"/>
        </w:rPr>
        <w:t> (uchylony).</w:t>
      </w:r>
    </w:p>
    <w:p>
      <w:pPr>
        <w:spacing w:before="26" w:after="0"/>
        <w:ind w:left="0"/>
        <w:jc w:val="left"/>
        <w:textAlignment w:val="auto"/>
      </w:pPr>
      <w:r>
        <w:rPr>
          <w:rFonts w:ascii="Times New Roman"/>
          <w:b w:val="false"/>
          <w:i w:val="false"/>
          <w:color w:val="000000"/>
          <w:sz w:val="24"/>
          <w:lang w:val="pl-PL"/>
        </w:rPr>
        <w:t>11.</w:t>
      </w:r>
      <w:r>
        <w:rPr>
          <w:rFonts w:ascii="Times New Roman"/>
          <w:b w:val="false"/>
          <w:i w:val="false"/>
          <w:color w:val="000000"/>
          <w:sz w:val="24"/>
          <w:lang w:val="pl-PL"/>
        </w:rPr>
        <w:t xml:space="preserve"> Do postępowania w sprawie kontroli oświadczenia majątkowego stosuje się odpowiednio przepisy </w:t>
      </w:r>
      <w:r>
        <w:rPr>
          <w:rFonts w:ascii="Times New Roman"/>
          <w:b w:val="false"/>
          <w:i w:val="false"/>
          <w:color w:val="1b1b1b"/>
          <w:sz w:val="24"/>
          <w:lang w:val="pl-PL"/>
        </w:rPr>
        <w:t>ustawy</w:t>
      </w:r>
      <w:r>
        <w:rPr>
          <w:rFonts w:ascii="Times New Roman"/>
          <w:b w:val="false"/>
          <w:i w:val="false"/>
          <w:color w:val="000000"/>
          <w:sz w:val="24"/>
          <w:lang w:val="pl-PL"/>
        </w:rPr>
        <w:t xml:space="preserve"> z dnia 9 czerwca 2006 r. o Centralnym Biurze Antykorupcyjnym (Dz. U. z 2025 r. poz. 712 i 718).</w:t>
      </w:r>
    </w:p>
    <w:p>
      <w:pPr>
        <w:spacing w:before="26" w:after="0"/>
        <w:ind w:left="0"/>
        <w:jc w:val="left"/>
        <w:textAlignment w:val="auto"/>
      </w:pPr>
      <w:r>
        <w:rPr>
          <w:rFonts w:ascii="Times New Roman"/>
          <w:b w:val="false"/>
          <w:i w:val="false"/>
          <w:color w:val="000000"/>
          <w:sz w:val="24"/>
          <w:lang w:val="pl-PL"/>
        </w:rPr>
        <w:t>12.</w:t>
      </w:r>
      <w:r>
        <w:rPr>
          <w:rFonts w:ascii="Times New Roman"/>
          <w:b w:val="false"/>
          <w:i w:val="false"/>
          <w:color w:val="000000"/>
          <w:sz w:val="24"/>
          <w:lang w:val="pl-PL"/>
        </w:rPr>
        <w:t> Podmiot dokonujący analizy oświadczeń majątkowych w terminie do dnia 30 października każdego roku przedstawia radzie gminy informację o:</w:t>
      </w:r>
    </w:p>
    <w:p>
      <w:pPr>
        <w:spacing w:before="26" w:after="0"/>
        <w:ind w:left="373"/>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xml:space="preserve"> osobach, które nie złożyły oświadczenia majątkowego lub złożyły je po terminie;</w:t>
      </w:r>
    </w:p>
    <w:p>
      <w:pPr>
        <w:spacing w:before="26" w:after="0"/>
        <w:ind w:left="373"/>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xml:space="preserve"> nieprawidłowościach stwierdzonych w analizowanych oświadczeniach majątkowych wraz z ich opisem i wskazaniem osób, które złożyły nieprawidłowe oświadczenia;</w:t>
      </w:r>
    </w:p>
    <w:p>
      <w:pPr>
        <w:spacing w:before="26" w:after="0"/>
        <w:ind w:left="373"/>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xml:space="preserve"> działaniach podjętych w związku z nieprawidłowościami stwierdzonymi w analizowanych oświadczeniach majątkowych.</w:t>
      </w:r>
    </w:p>
    <w:p>
      <w:pPr>
        <w:spacing w:before="26" w:after="0"/>
        <w:ind w:left="0"/>
        <w:jc w:val="left"/>
        <w:textAlignment w:val="auto"/>
      </w:pPr>
      <w:r>
        <w:rPr>
          <w:rFonts w:ascii="Times New Roman"/>
          <w:b w:val="false"/>
          <w:i w:val="false"/>
          <w:color w:val="000000"/>
          <w:sz w:val="24"/>
          <w:lang w:val="pl-PL"/>
        </w:rPr>
        <w:t>13.</w:t>
      </w:r>
      <w:r>
        <w:rPr>
          <w:rFonts w:ascii="Times New Roman"/>
          <w:b w:val="false"/>
          <w:i w:val="false"/>
          <w:color w:val="000000"/>
          <w:sz w:val="24"/>
          <w:lang w:val="pl-PL"/>
        </w:rPr>
        <w:t xml:space="preserve"> Prezes Rady Ministrów określi, w drodze rozporządzenia, wzór formularza oświadczenia majątkowego radnego oraz wzór formularza oświadczenia majątkowego wójta, zastępcy wójta, sekretarza gminy, skarbnika gminy, kierownika jednostki organizacyjnej gminy, osoby zarządzającej i członka organu zarządzającego gminną osobą prawną oraz osoby wydającej decyzje administracyjne w imieniu wójta, uwzględniając zakazy określone w odniesieniu do tych osób w przepisach </w:t>
      </w:r>
      <w:r>
        <w:rPr>
          <w:rFonts w:ascii="Times New Roman"/>
          <w:b w:val="false"/>
          <w:i w:val="false"/>
          <w:color w:val="1b1b1b"/>
          <w:sz w:val="24"/>
          <w:lang w:val="pl-PL"/>
        </w:rPr>
        <w:t>ustawy</w:t>
      </w:r>
      <w:r>
        <w:rPr>
          <w:rFonts w:ascii="Times New Roman"/>
          <w:b w:val="false"/>
          <w:i w:val="false"/>
          <w:color w:val="000000"/>
          <w:sz w:val="24"/>
          <w:lang w:val="pl-PL"/>
        </w:rPr>
        <w:t xml:space="preserve"> z dnia 21 sierpnia 1997 r. o ograniczeniu prowadzenia działalności gospodarczej przez osoby pełniące funkcje publiczne (Dz. U. z 2025 r. poz. 499).</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24i.</w:t>
      </w:r>
      <w:r>
        <w:rPr>
          <w:rFonts w:ascii="Times New Roman"/>
          <w:b/>
          <w:i w:val="false"/>
          <w:color w:val="000000"/>
          <w:sz w:val="24"/>
          <w:lang w:val="pl-PL"/>
        </w:rPr>
        <w:t xml:space="preserve"> [Jawność oświadczeń majątkowych]</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Informacje zawarte w oświadczeniu majątkowym są jawne, z wyłączeniem informacji o adresie zamieszkania składającego oświadczenie oraz o miejscu położenia nieruchomości.</w:t>
      </w: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Wojewoda i przewodniczący rady gminy przekazują wójtowi kopie oświadczeń majątkowych, które im złożono.</w:t>
      </w:r>
    </w:p>
    <w:p>
      <w:pPr>
        <w:spacing w:before="26" w:after="0"/>
        <w:ind w:left="0"/>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xml:space="preserve"> Jawne informacje zawarte w oświadczeniach majątkowych są udostępniane w Biuletynie Informacji Publicznej, o którym mowa w </w:t>
      </w:r>
      <w:r>
        <w:rPr>
          <w:rFonts w:ascii="Times New Roman"/>
          <w:b w:val="false"/>
          <w:i w:val="false"/>
          <w:color w:val="1b1b1b"/>
          <w:sz w:val="24"/>
          <w:lang w:val="pl-PL"/>
        </w:rPr>
        <w:t>ustawie</w:t>
      </w:r>
      <w:r>
        <w:rPr>
          <w:rFonts w:ascii="Times New Roman"/>
          <w:b w:val="false"/>
          <w:i w:val="false"/>
          <w:color w:val="000000"/>
          <w:sz w:val="24"/>
          <w:lang w:val="pl-PL"/>
        </w:rPr>
        <w:t xml:space="preserve"> z dnia 6 września 2001 r. o dostępie do informacji publicznej (Dz. U. z 2022 r. poz. 902).</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24j.</w:t>
      </w:r>
    </w:p>
    <w:p>
      <w:pPr>
        <w:spacing w:after="0"/>
        <w:ind w:left="0"/>
        <w:jc w:val="left"/>
        <w:textAlignment w:val="auto"/>
      </w:pPr>
      <w:r>
        <w:rPr>
          <w:rFonts w:ascii="Times New Roman"/>
          <w:b w:val="false"/>
          <w:i w:val="false"/>
          <w:color w:val="000000"/>
          <w:sz w:val="24"/>
          <w:lang w:val="pl-PL"/>
        </w:rPr>
        <w:t> (uchylony).</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24k.</w:t>
      </w:r>
      <w:r>
        <w:rPr>
          <w:rFonts w:ascii="Times New Roman"/>
          <w:b/>
          <w:i w:val="false"/>
          <w:color w:val="000000"/>
          <w:sz w:val="24"/>
          <w:lang w:val="pl-PL"/>
        </w:rPr>
        <w:t xml:space="preserve"> [Skutki niezłożenia oświadczenia majątkowego]</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Niezłożenie oświadczenia majątkowego mimo upływu dodatkowego terminu, o którym mowa w art. 24h ust. 5a przez:</w:t>
      </w:r>
    </w:p>
    <w:p>
      <w:pPr>
        <w:spacing w:before="26" w:after="0"/>
        <w:ind w:left="373"/>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xml:space="preserve"> radnego lub wójta - powoduje wygaśnięcie mandatu w trybie odpowiednio </w:t>
      </w:r>
      <w:r>
        <w:rPr>
          <w:rFonts w:ascii="Times New Roman"/>
          <w:b w:val="false"/>
          <w:i w:val="false"/>
          <w:color w:val="1b1b1b"/>
          <w:sz w:val="24"/>
          <w:lang w:val="pl-PL"/>
        </w:rPr>
        <w:t>art. 383</w:t>
      </w:r>
      <w:r>
        <w:rPr>
          <w:rFonts w:ascii="Times New Roman"/>
          <w:b w:val="false"/>
          <w:i w:val="false"/>
          <w:color w:val="000000"/>
          <w:sz w:val="24"/>
          <w:lang w:val="pl-PL"/>
        </w:rPr>
        <w:t xml:space="preserve"> lub </w:t>
      </w:r>
      <w:r>
        <w:rPr>
          <w:rFonts w:ascii="Times New Roman"/>
          <w:b w:val="false"/>
          <w:i w:val="false"/>
          <w:color w:val="1b1b1b"/>
          <w:sz w:val="24"/>
          <w:lang w:val="pl-PL"/>
        </w:rPr>
        <w:t>art. 492</w:t>
      </w:r>
      <w:r>
        <w:rPr>
          <w:rFonts w:ascii="Times New Roman"/>
          <w:b w:val="false"/>
          <w:i w:val="false"/>
          <w:color w:val="000000"/>
          <w:sz w:val="24"/>
          <w:lang w:val="pl-PL"/>
        </w:rPr>
        <w:t xml:space="preserve"> ustawy, o której mowa w art. 24b ust. 6;</w:t>
      </w:r>
    </w:p>
    <w:p>
      <w:pPr>
        <w:spacing w:before="26" w:after="0"/>
        <w:ind w:left="373"/>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xml:space="preserve"> zastępcę wójta, sekretarza gminy, skarbnika gminy, kierownika jednostki organizacyjnej gminy, osobę zarządzającą i członka organu zarządzającego gminną osobą prawną oraz osobę wydającą decyzje administracyjne w imieniu wójta - powoduje utratę ich wynagrodzenia za okres od dnia, w którym powinno być złożone oświadczenie do dnia złożenia oświadczenia.</w:t>
      </w:r>
    </w:p>
    <w:p>
      <w:pPr>
        <w:spacing w:after="0"/>
        <w:ind w:left="0"/>
        <w:jc w:val="left"/>
        <w:textAlignment w:val="auto"/>
      </w:pP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Jeżeli skarbnik gminy nie złoży w terminie oświadczenia majątkowego, rada gminy odwołuje go, w drodze uchwały, najpóźniej po upływie 30 dni od dnia, w którym upłynął termin do złożenia oświadczenia.</w:t>
      </w:r>
    </w:p>
    <w:p>
      <w:pPr>
        <w:spacing w:before="26" w:after="0"/>
        <w:ind w:left="0"/>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Jeżeli sekretarz gminy, zastępca wójta, kierownik jednostki organizacyjnej gminy, osoba zarządzająca i członek organu zarządzającego gminną osobą prawną oraz osoba wydająca decyzje administracyjne w imieniu wójta nie złożą w terminie oświadczenia majątkowego, właściwy organ odwołuje ich albo rozwiązuje z nimi umowę o pracę najpóźniej po upływie 30 dni od dnia, w którym upłynął termin do złożenia oświadczenia.</w:t>
      </w:r>
    </w:p>
    <w:p>
      <w:pPr>
        <w:spacing w:before="26" w:after="0"/>
        <w:ind w:left="0"/>
        <w:jc w:val="left"/>
        <w:textAlignment w:val="auto"/>
      </w:pPr>
      <w:r>
        <w:rPr>
          <w:rFonts w:ascii="Times New Roman"/>
          <w:b w:val="false"/>
          <w:i w:val="false"/>
          <w:color w:val="000000"/>
          <w:sz w:val="24"/>
          <w:lang w:val="pl-PL"/>
        </w:rPr>
        <w:t>4.</w:t>
      </w:r>
      <w:r>
        <w:rPr>
          <w:rFonts w:ascii="Times New Roman"/>
          <w:b w:val="false"/>
          <w:i w:val="false"/>
          <w:color w:val="000000"/>
          <w:sz w:val="24"/>
          <w:lang w:val="pl-PL"/>
        </w:rPr>
        <w:t xml:space="preserve"> Odwołanie i rozwiązanie umowy o pracę w trybie określonym w ust. 2 i 3 jest równoznaczne z rozwiązaniem umowy o pracę bez wypowiedzenia na podstawie </w:t>
      </w:r>
      <w:r>
        <w:rPr>
          <w:rFonts w:ascii="Times New Roman"/>
          <w:b w:val="false"/>
          <w:i w:val="false"/>
          <w:color w:val="1b1b1b"/>
          <w:sz w:val="24"/>
          <w:lang w:val="pl-PL"/>
        </w:rPr>
        <w:t>art. 52 § 1 pkt 1</w:t>
      </w:r>
      <w:r>
        <w:rPr>
          <w:rFonts w:ascii="Times New Roman"/>
          <w:b w:val="false"/>
          <w:i w:val="false"/>
          <w:color w:val="000000"/>
          <w:sz w:val="24"/>
          <w:lang w:val="pl-PL"/>
        </w:rPr>
        <w:t xml:space="preserve"> Kodeksu pracy.</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24l.</w:t>
      </w:r>
      <w:r>
        <w:rPr>
          <w:rFonts w:ascii="Times New Roman"/>
          <w:b/>
          <w:i w:val="false"/>
          <w:color w:val="000000"/>
          <w:sz w:val="24"/>
          <w:lang w:val="pl-PL"/>
        </w:rPr>
        <w:t xml:space="preserve"> [Odpowiedzialność karna za podanie nieprawdy lub zatajenie prawdy w oświadczeniu majątkowym]</w:t>
      </w:r>
    </w:p>
    <w:p>
      <w:pPr>
        <w:spacing w:after="0"/>
        <w:ind w:left="0"/>
        <w:jc w:val="left"/>
        <w:textAlignment w:val="auto"/>
      </w:pPr>
      <w:r>
        <w:rPr>
          <w:rFonts w:ascii="Times New Roman"/>
          <w:b w:val="false"/>
          <w:i w:val="false"/>
          <w:color w:val="000000"/>
          <w:sz w:val="24"/>
          <w:lang w:val="pl-PL"/>
        </w:rPr>
        <w:t xml:space="preserve"> Podanie nieprawdy lub zatajenie prawdy w oświadczeniu majątkowym, powoduje odpowiedzialność na podstawie </w:t>
      </w:r>
      <w:r>
        <w:rPr>
          <w:rFonts w:ascii="Times New Roman"/>
          <w:b w:val="false"/>
          <w:i w:val="false"/>
          <w:color w:val="1b1b1b"/>
          <w:sz w:val="24"/>
          <w:lang w:val="pl-PL"/>
        </w:rPr>
        <w:t>art. 233 § 1</w:t>
      </w:r>
      <w:r>
        <w:rPr>
          <w:rFonts w:ascii="Times New Roman"/>
          <w:b w:val="false"/>
          <w:i w:val="false"/>
          <w:color w:val="000000"/>
          <w:sz w:val="24"/>
          <w:lang w:val="pl-PL"/>
        </w:rPr>
        <w:t xml:space="preserve"> Kodeksu karnego.</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24m.</w:t>
      </w:r>
      <w:r>
        <w:rPr>
          <w:rFonts w:ascii="Times New Roman"/>
          <w:b/>
          <w:i w:val="false"/>
          <w:color w:val="000000"/>
          <w:sz w:val="24"/>
          <w:lang w:val="pl-PL"/>
        </w:rPr>
        <w:t xml:space="preserve"> [Zakaz przyjmowania świadczenia o charakterze majątkowym]</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Wójt, zastępca wójta, skarbnik gminy, sekretarz gminy, kierownik jednostki organizacyjnej gminy, osoba zarządzająca i członek organu zarządzającego gminną osobą prawną oraz osoba wydająca decyzje administracyjne w imieniu wójta w trakcie pełnienia funkcji lub trwania zatrudnienia oraz przez okres 3 lat po zakończeniu pełnienia funkcji lub ustaniu zatrudnienia nie mogą przyjąć jakiegokolwiek świadczenia o charakterze majątkowym, nieodpłatnie lub odpłatnie w wysokości niższej od jego rzeczywistej wartości od podmiotu lub podmiotu od niego zależnego, jeżeli biorąc udział w wydaniu rozstrzygnięcia w sprawach indywidualnych jego dotyczących mieli bezpośredni wpływ na jego treść.</w:t>
      </w: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Podmiotem zależnym w rozumieniu ust. 1 jest podmiot, w którym:</w:t>
      </w:r>
    </w:p>
    <w:p>
      <w:pPr>
        <w:spacing w:before="26" w:after="0"/>
        <w:ind w:left="373"/>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xml:space="preserve"> przedsiębiorca posiada bezpośrednio lub pośrednio większość głosów w jego organach, także na podstawie porozumień z innymi wspólnikami i akcjonariuszami;</w:t>
      </w:r>
    </w:p>
    <w:p>
      <w:pPr>
        <w:spacing w:before="26" w:after="0"/>
        <w:ind w:left="373"/>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xml:space="preserve"> przedsiębiorca jest uprawniony do powoływania albo odwoływania większości członków organów zarządzających podmiotu zależnego;</w:t>
      </w:r>
    </w:p>
    <w:p>
      <w:pPr>
        <w:spacing w:before="26" w:after="0"/>
        <w:ind w:left="373"/>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xml:space="preserve"> więcej niż połowa członków zarządu przedsiębiorcy jest jednocześnie członkami zarządu albo osobami pełniącymi funkcje kierownicze w podmiocie pozostającym z przedsiębiorcą w stosunku zależności.</w:t>
      </w:r>
    </w:p>
    <w:p>
      <w:pPr>
        <w:spacing w:before="26" w:after="0"/>
        <w:ind w:left="0"/>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Zakaz, o którym mowa w ust. 1, nie dotyczy nabycia przedmiotu lub usługi dostępnych w ramach publicznej oferty, a także nie dotyczy przedmiotów zwyczajowo wykorzystywanych w celach reklamowych i promocyjnych oraz nagród przyznawanych w konkursach na działalność artystyczną.</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25.</w:t>
      </w:r>
      <w:r>
        <w:rPr>
          <w:rFonts w:ascii="Times New Roman"/>
          <w:b/>
          <w:i w:val="false"/>
          <w:color w:val="000000"/>
          <w:sz w:val="24"/>
          <w:lang w:val="pl-PL"/>
        </w:rPr>
        <w:t xml:space="preserve"> [Ochrona stosunku pracy radnego. Diety i zwrot kosztów podróży]</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W związku z wykonywaniem mandatu radny korzysta z ochrony prawnej przewidzianej dla funkcjonariuszy publicznych.</w:t>
      </w: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Rozwiązanie z radnym stosunku pracy wymaga uprzedniej zgody rady gminy, której jest członkiem. Rada gminy odmówi zgody na rozwiązanie stosunku pracy z radnym, jeżeli podstawą rozwiązania tego stosunku są zdarzenia związane z wykonywaniem przez radnego mandatu.</w:t>
      </w:r>
    </w:p>
    <w:p>
      <w:pPr>
        <w:spacing w:before="26" w:after="0"/>
        <w:ind w:left="0"/>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Pracodawca obowiązany jest zwolnić radnego od pracy zawodowej w celu umożliwienia mu brania udziału w pracach organów gminy.</w:t>
      </w:r>
    </w:p>
    <w:p>
      <w:pPr>
        <w:spacing w:before="26" w:after="0"/>
        <w:ind w:left="0"/>
        <w:jc w:val="left"/>
        <w:textAlignment w:val="auto"/>
      </w:pPr>
      <w:r>
        <w:rPr>
          <w:rFonts w:ascii="Times New Roman"/>
          <w:b w:val="false"/>
          <w:i w:val="false"/>
          <w:color w:val="000000"/>
          <w:sz w:val="24"/>
          <w:lang w:val="pl-PL"/>
        </w:rPr>
        <w:t>4.</w:t>
      </w:r>
      <w:r>
        <w:rPr>
          <w:rFonts w:ascii="Times New Roman"/>
          <w:b w:val="false"/>
          <w:i w:val="false"/>
          <w:color w:val="000000"/>
          <w:sz w:val="24"/>
          <w:lang w:val="pl-PL"/>
        </w:rPr>
        <w:t> Na zasadach ustalonych przez radę gminy radnemu przysługują diety oraz zwrot kosztów podróży służbowych.</w:t>
      </w:r>
    </w:p>
    <w:p>
      <w:pPr>
        <w:spacing w:before="26" w:after="0"/>
        <w:ind w:left="0"/>
        <w:jc w:val="left"/>
        <w:textAlignment w:val="auto"/>
      </w:pPr>
      <w:r>
        <w:rPr>
          <w:rFonts w:ascii="Times New Roman"/>
          <w:b w:val="false"/>
          <w:i w:val="false"/>
          <w:color w:val="000000"/>
          <w:sz w:val="24"/>
          <w:lang w:val="pl-PL"/>
        </w:rPr>
        <w:t>5.</w:t>
      </w:r>
      <w:r>
        <w:rPr>
          <w:rFonts w:ascii="Times New Roman"/>
          <w:b w:val="false"/>
          <w:i w:val="false"/>
          <w:color w:val="000000"/>
          <w:sz w:val="24"/>
          <w:lang w:val="pl-PL"/>
        </w:rPr>
        <w:t> (uchylony).</w:t>
      </w:r>
    </w:p>
    <w:p>
      <w:pPr>
        <w:spacing w:before="26" w:after="0"/>
        <w:ind w:left="0"/>
        <w:jc w:val="left"/>
        <w:textAlignment w:val="auto"/>
      </w:pPr>
      <w:r>
        <w:rPr>
          <w:rFonts w:ascii="Times New Roman"/>
          <w:b w:val="false"/>
          <w:i w:val="false"/>
          <w:color w:val="000000"/>
          <w:sz w:val="24"/>
          <w:lang w:val="pl-PL"/>
        </w:rPr>
        <w:t>6.</w:t>
      </w:r>
      <w:r>
        <w:rPr>
          <w:rFonts w:ascii="Times New Roman"/>
          <w:b w:val="false"/>
          <w:i w:val="false"/>
          <w:color w:val="000000"/>
          <w:sz w:val="24"/>
          <w:lang w:val="pl-PL"/>
        </w:rPr>
        <w:t xml:space="preserve"> Wysokość diet przysługujących radnemu nie może przekroczyć w ciągu miesiąca łącznie 2,4-krotności kwoty bazowej określonej w ustawie budżetowej dla osób zajmujących kierownicze stanowiska państwowe na podstawie przepisów </w:t>
      </w:r>
      <w:r>
        <w:rPr>
          <w:rFonts w:ascii="Times New Roman"/>
          <w:b w:val="false"/>
          <w:i w:val="false"/>
          <w:color w:val="1b1b1b"/>
          <w:sz w:val="24"/>
          <w:lang w:val="pl-PL"/>
        </w:rPr>
        <w:t>ustawy</w:t>
      </w:r>
      <w:r>
        <w:rPr>
          <w:rFonts w:ascii="Times New Roman"/>
          <w:b w:val="false"/>
          <w:i w:val="false"/>
          <w:color w:val="000000"/>
          <w:sz w:val="24"/>
          <w:lang w:val="pl-PL"/>
        </w:rPr>
        <w:t xml:space="preserve"> z dnia 23 grudnia 1999 r. o kształtowaniu wynagrodzeń w państwowej sferze budżetowej oraz o zmianie niektórych ustaw (Dz. U. z 2024 r. poz. 1356).</w:t>
      </w:r>
    </w:p>
    <w:p>
      <w:pPr>
        <w:spacing w:before="26" w:after="0"/>
        <w:ind w:left="0"/>
        <w:jc w:val="left"/>
        <w:textAlignment w:val="auto"/>
      </w:pPr>
      <w:r>
        <w:rPr>
          <w:rFonts w:ascii="Times New Roman"/>
          <w:b w:val="false"/>
          <w:i w:val="false"/>
          <w:color w:val="000000"/>
          <w:sz w:val="24"/>
          <w:lang w:val="pl-PL"/>
        </w:rPr>
        <w:t>7.</w:t>
      </w:r>
      <w:r>
        <w:rPr>
          <w:rFonts w:ascii="Times New Roman"/>
          <w:b w:val="false"/>
          <w:i w:val="false"/>
          <w:color w:val="000000"/>
          <w:sz w:val="24"/>
          <w:lang w:val="pl-PL"/>
        </w:rPr>
        <w:t> Rada Ministrów określa, w drodze rozporządzenia, maksymalną wysokość diet przysługujących radnemu w ciągu miesiąca, uwzględniając liczbę mieszkańców gminy, przy czym kwota wymieniona w ust. 6 oznacza maksymalną wysokość diet w gminach o największej liczbie mieszkańców.</w:t>
      </w:r>
    </w:p>
    <w:p>
      <w:pPr>
        <w:spacing w:before="26" w:after="0"/>
        <w:ind w:left="0"/>
        <w:jc w:val="left"/>
        <w:textAlignment w:val="auto"/>
      </w:pPr>
      <w:r>
        <w:rPr>
          <w:rFonts w:ascii="Times New Roman"/>
          <w:b w:val="false"/>
          <w:i w:val="false"/>
          <w:color w:val="000000"/>
          <w:sz w:val="24"/>
          <w:lang w:val="pl-PL"/>
        </w:rPr>
        <w:t>8.</w:t>
      </w:r>
      <w:r>
        <w:rPr>
          <w:rFonts w:ascii="Times New Roman"/>
          <w:b w:val="false"/>
          <w:i w:val="false"/>
          <w:color w:val="000000"/>
          <w:sz w:val="24"/>
          <w:lang w:val="pl-PL"/>
        </w:rPr>
        <w:t> Rada gminy przy ustalaniu wysokości diet radnych bierze pod uwagę funkcje pełnione przez radnego.</w:t>
      </w:r>
    </w:p>
    <w:p>
      <w:pPr>
        <w:spacing w:before="26" w:after="0"/>
        <w:ind w:left="0"/>
        <w:jc w:val="left"/>
        <w:textAlignment w:val="auto"/>
      </w:pPr>
      <w:r>
        <w:rPr>
          <w:rFonts w:ascii="Times New Roman"/>
          <w:b w:val="false"/>
          <w:i w:val="false"/>
          <w:color w:val="000000"/>
          <w:sz w:val="24"/>
          <w:lang w:val="pl-PL"/>
        </w:rPr>
        <w:t>8a.</w:t>
      </w:r>
      <w:r>
        <w:rPr>
          <w:rFonts w:ascii="Times New Roman"/>
          <w:b w:val="false"/>
          <w:i w:val="false"/>
          <w:color w:val="000000"/>
          <w:sz w:val="24"/>
          <w:lang w:val="pl-PL"/>
        </w:rPr>
        <w:t xml:space="preserve"> W gminie będącej jednostką zainteresowania publicznego w rozumieniu </w:t>
      </w:r>
      <w:r>
        <w:rPr>
          <w:rFonts w:ascii="Times New Roman"/>
          <w:b w:val="false"/>
          <w:i w:val="false"/>
          <w:color w:val="1b1b1b"/>
          <w:sz w:val="24"/>
          <w:lang w:val="pl-PL"/>
        </w:rPr>
        <w:t>art. 2 pkt 9</w:t>
      </w:r>
      <w:r>
        <w:rPr>
          <w:rFonts w:ascii="Times New Roman"/>
          <w:b w:val="false"/>
          <w:i w:val="false"/>
          <w:color w:val="000000"/>
          <w:sz w:val="24"/>
          <w:lang w:val="pl-PL"/>
        </w:rPr>
        <w:t xml:space="preserve"> ustawy z dnia 11 maja 2017 r. o biegłych rewidentach, firmach audytorskich oraz nadzorze publicznym (Dz. U. z 2024 r. poz. 1035 i 1863) za funkcję pełnioną przez radnego uważa się również członkostwo w komitecie audytu.</w:t>
      </w:r>
    </w:p>
    <w:p>
      <w:pPr>
        <w:spacing w:before="26" w:after="0"/>
        <w:ind w:left="0"/>
        <w:jc w:val="left"/>
        <w:textAlignment w:val="auto"/>
      </w:pPr>
      <w:r>
        <w:rPr>
          <w:rFonts w:ascii="Times New Roman"/>
          <w:b w:val="false"/>
          <w:i w:val="false"/>
          <w:color w:val="000000"/>
          <w:sz w:val="24"/>
          <w:lang w:val="pl-PL"/>
        </w:rPr>
        <w:t>9.</w:t>
      </w:r>
      <w:r>
        <w:rPr>
          <w:rFonts w:ascii="Times New Roman"/>
          <w:b w:val="false"/>
          <w:i w:val="false"/>
          <w:color w:val="000000"/>
          <w:sz w:val="24"/>
          <w:lang w:val="pl-PL"/>
        </w:rPr>
        <w:t> (uchylony).</w:t>
      </w:r>
    </w:p>
    <w:p>
      <w:pPr>
        <w:spacing w:before="26" w:after="0"/>
        <w:ind w:left="0"/>
        <w:jc w:val="left"/>
        <w:textAlignment w:val="auto"/>
      </w:pPr>
      <w:r>
        <w:rPr>
          <w:rFonts w:ascii="Times New Roman"/>
          <w:b w:val="false"/>
          <w:i w:val="false"/>
          <w:color w:val="000000"/>
          <w:sz w:val="24"/>
          <w:lang w:val="pl-PL"/>
        </w:rPr>
        <w:t>10.</w:t>
      </w:r>
      <w:r>
        <w:rPr>
          <w:rFonts w:ascii="Times New Roman"/>
          <w:b w:val="false"/>
          <w:i w:val="false"/>
          <w:color w:val="000000"/>
          <w:sz w:val="24"/>
          <w:lang w:val="pl-PL"/>
        </w:rPr>
        <w:t> Minister właściwy do spraw administracji publicznej określi, w drodze rozporządzenia, sposób ustalania należności z tytułu zwrotu kosztów podróży służbowych radnych, uwzględniając celowość zwrotu rzeczywiście poniesionych wydatków związanych z wykonywaniem mandatu oraz ułatwienie dokonywania rozliczeń.</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25a.</w:t>
      </w:r>
      <w:r>
        <w:rPr>
          <w:rFonts w:ascii="Times New Roman"/>
          <w:b/>
          <w:i w:val="false"/>
          <w:color w:val="000000"/>
          <w:sz w:val="24"/>
          <w:lang w:val="pl-PL"/>
        </w:rPr>
        <w:t xml:space="preserve"> [Wyłączenie radnego z udziału w głosowaniu]</w:t>
      </w:r>
    </w:p>
    <w:p>
      <w:pPr>
        <w:spacing w:after="0"/>
        <w:ind w:left="0"/>
        <w:jc w:val="left"/>
        <w:textAlignment w:val="auto"/>
      </w:pPr>
      <w:r>
        <w:rPr>
          <w:rFonts w:ascii="Times New Roman"/>
          <w:b w:val="false"/>
          <w:i w:val="false"/>
          <w:color w:val="000000"/>
          <w:sz w:val="24"/>
          <w:lang w:val="pl-PL"/>
        </w:rPr>
        <w:t> Radny nie może brać udziału w głosowaniu w radzie ani w komisji, jeżeli dotyczy ono jego interesu prawnego.</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25b.</w:t>
      </w:r>
      <w:r>
        <w:rPr>
          <w:rFonts w:ascii="Times New Roman"/>
          <w:b/>
          <w:i w:val="false"/>
          <w:color w:val="000000"/>
          <w:sz w:val="24"/>
          <w:lang w:val="pl-PL"/>
        </w:rPr>
        <w:t xml:space="preserve"> [Niepołączalność mandatu radnego]</w:t>
      </w:r>
    </w:p>
    <w:p>
      <w:pPr>
        <w:spacing w:after="0"/>
        <w:ind w:left="0"/>
        <w:jc w:val="left"/>
        <w:textAlignment w:val="auto"/>
      </w:pPr>
      <w:r>
        <w:rPr>
          <w:rFonts w:ascii="Times New Roman"/>
          <w:b w:val="false"/>
          <w:i w:val="false"/>
          <w:color w:val="000000"/>
          <w:sz w:val="24"/>
          <w:lang w:val="pl-PL"/>
        </w:rPr>
        <w:t> Mandatu radnego gminy nie można łączyć z:</w:t>
      </w:r>
    </w:p>
    <w:p>
      <w:pPr>
        <w:spacing w:before="26" w:after="0"/>
        <w:ind w:left="373"/>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xml:space="preserve"> mandatem posła lub senatora;</w:t>
      </w:r>
    </w:p>
    <w:p>
      <w:pPr>
        <w:spacing w:before="26" w:after="0"/>
        <w:ind w:left="373"/>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xml:space="preserve"> wykonywaniem funkcji wojewody lub wicewojewody;</w:t>
      </w:r>
    </w:p>
    <w:p>
      <w:pPr>
        <w:spacing w:before="26" w:after="0"/>
        <w:ind w:left="373"/>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xml:space="preserve"> członkostwem w organie innej jednostki samorządu terytorialnego.</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26.</w:t>
      </w:r>
      <w:r>
        <w:rPr>
          <w:rFonts w:ascii="Times New Roman"/>
          <w:b/>
          <w:i w:val="false"/>
          <w:color w:val="000000"/>
          <w:sz w:val="24"/>
          <w:lang w:val="pl-PL"/>
        </w:rPr>
        <w:t xml:space="preserve"> [Wójt jako organ wykonawczy]</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Organem wykonawczym gminy jest wójt.</w:t>
      </w: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Kadencja wójta rozpoczyna się w dniu rozpoczęcia kadencji rady gminy lub wyboru go przez radę gminy i upływa z dniem upływu kadencji rady gminy.</w:t>
      </w:r>
    </w:p>
    <w:p>
      <w:pPr>
        <w:spacing w:before="26" w:after="0"/>
        <w:ind w:left="0"/>
        <w:jc w:val="left"/>
        <w:textAlignment w:val="auto"/>
      </w:pPr>
      <w:r>
        <w:rPr>
          <w:rFonts w:ascii="Times New Roman"/>
          <w:b w:val="false"/>
          <w:i w:val="false"/>
          <w:color w:val="000000"/>
          <w:sz w:val="24"/>
          <w:lang w:val="pl-PL"/>
        </w:rPr>
        <w:t>2a.</w:t>
      </w:r>
      <w:r>
        <w:rPr>
          <w:rFonts w:ascii="Times New Roman"/>
          <w:b w:val="false"/>
          <w:i w:val="false"/>
          <w:color w:val="000000"/>
          <w:sz w:val="24"/>
          <w:lang w:val="pl-PL"/>
        </w:rPr>
        <w:t> Wójtem (burmistrzem, prezydentem miasta) nie może być osoba, która nie jest obywatelem polskim.</w:t>
      </w:r>
    </w:p>
    <w:p>
      <w:pPr>
        <w:spacing w:before="26" w:after="0"/>
        <w:ind w:left="0"/>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Burmistrz jest organem wykonawczym w gminie, w której siedziba władz znajduje się w mieście położonym na terytorium tej gminy.</w:t>
      </w:r>
    </w:p>
    <w:p>
      <w:pPr>
        <w:spacing w:before="26" w:after="0"/>
        <w:ind w:left="0"/>
        <w:jc w:val="left"/>
        <w:textAlignment w:val="auto"/>
      </w:pPr>
      <w:r>
        <w:rPr>
          <w:rFonts w:ascii="Times New Roman"/>
          <w:b w:val="false"/>
          <w:i w:val="false"/>
          <w:color w:val="000000"/>
          <w:sz w:val="24"/>
          <w:lang w:val="pl-PL"/>
        </w:rPr>
        <w:t>4.</w:t>
      </w:r>
      <w:r>
        <w:rPr>
          <w:rFonts w:ascii="Times New Roman"/>
          <w:b w:val="false"/>
          <w:i w:val="false"/>
          <w:color w:val="000000"/>
          <w:sz w:val="24"/>
          <w:lang w:val="pl-PL"/>
        </w:rPr>
        <w:t> W miastach powyżej 100 000 mieszkańców organem wykonawczym jest prezydent miasta. Dotyczy to również miast, w których do dnia wejścia w życie niniejszej ustawy prezydent miasta był organem wykonawczo-zarządzającym.</w:t>
      </w:r>
    </w:p>
    <w:p>
      <w:pPr>
        <w:spacing w:before="26" w:after="0"/>
        <w:ind w:left="0"/>
        <w:jc w:val="left"/>
        <w:textAlignment w:val="auto"/>
      </w:pPr>
      <w:r>
        <w:rPr>
          <w:rFonts w:ascii="Times New Roman"/>
          <w:b w:val="false"/>
          <w:i w:val="false"/>
          <w:color w:val="000000"/>
          <w:sz w:val="24"/>
          <w:lang w:val="pl-PL"/>
        </w:rPr>
        <w:t>5.</w:t>
      </w:r>
      <w:r>
        <w:rPr>
          <w:rFonts w:ascii="Times New Roman"/>
          <w:b w:val="false"/>
          <w:i w:val="false"/>
          <w:color w:val="000000"/>
          <w:sz w:val="24"/>
          <w:lang w:val="pl-PL"/>
        </w:rPr>
        <w:t> (uchylony).</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26a.</w:t>
      </w:r>
      <w:r>
        <w:rPr>
          <w:rFonts w:ascii="Times New Roman"/>
          <w:b/>
          <w:i w:val="false"/>
          <w:color w:val="000000"/>
          <w:sz w:val="24"/>
          <w:lang w:val="pl-PL"/>
        </w:rPr>
        <w:t xml:space="preserve"> [Zastępcy wójta]</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Wójt, w drodze zarządzenia, powołuje oraz odwołuje swojego zastępcę lub zastępców i określa ich liczbę.</w:t>
      </w: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Liczba zastępców wójta nie może być większa niż:</w:t>
      </w:r>
    </w:p>
    <w:p>
      <w:pPr>
        <w:spacing w:before="26" w:after="0"/>
        <w:ind w:left="373"/>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xml:space="preserve"> jeden w gminach do 20 000 mieszkańców;</w:t>
      </w:r>
    </w:p>
    <w:p>
      <w:pPr>
        <w:spacing w:before="26" w:after="0"/>
        <w:ind w:left="373"/>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xml:space="preserve"> dwóch w gminach do 100 000 mieszkańców;</w:t>
      </w:r>
    </w:p>
    <w:p>
      <w:pPr>
        <w:spacing w:before="26" w:after="0"/>
        <w:ind w:left="373"/>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xml:space="preserve"> trzech w gminach do 200 000 mieszkańców;</w:t>
      </w:r>
    </w:p>
    <w:p>
      <w:pPr>
        <w:spacing w:before="26" w:after="0"/>
        <w:ind w:left="373"/>
        <w:jc w:val="left"/>
        <w:textAlignment w:val="auto"/>
      </w:pPr>
      <w:r>
        <w:rPr>
          <w:rFonts w:ascii="Times New Roman"/>
          <w:b w:val="false"/>
          <w:i w:val="false"/>
          <w:color w:val="000000"/>
          <w:sz w:val="24"/>
          <w:lang w:val="pl-PL"/>
        </w:rPr>
        <w:t>4)</w:t>
      </w:r>
      <w:r>
        <w:rPr>
          <w:rFonts w:ascii="Times New Roman"/>
          <w:b w:val="false"/>
          <w:i w:val="false"/>
          <w:color w:val="000000"/>
          <w:sz w:val="24"/>
          <w:lang w:val="pl-PL"/>
        </w:rPr>
        <w:t xml:space="preserve"> czterech w gminach powyżej 200 000 mieszkańców.</w:t>
      </w:r>
    </w:p>
    <w:p>
      <w:pPr>
        <w:spacing w:before="26" w:after="0"/>
        <w:ind w:left="0"/>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W przypadku gdy określona przez wójta liczba jego zastępców jest większa niż jeden, w zarządzeniu, o którym mowa w ust. 1, wójt wskazuje imiennie pierwszego i kolejnych zastępców.</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27.</w:t>
      </w:r>
      <w:r>
        <w:rPr>
          <w:rFonts w:ascii="Times New Roman"/>
          <w:b/>
          <w:i w:val="false"/>
          <w:color w:val="000000"/>
          <w:sz w:val="24"/>
          <w:lang w:val="pl-PL"/>
        </w:rPr>
        <w:t xml:space="preserve"> [Niepołączalność funkcji wójta oraz jego zastępcy]</w:t>
      </w:r>
    </w:p>
    <w:p>
      <w:pPr>
        <w:spacing w:after="0"/>
        <w:ind w:left="0"/>
        <w:jc w:val="left"/>
        <w:textAlignment w:val="auto"/>
      </w:pPr>
      <w:r>
        <w:rPr>
          <w:rFonts w:ascii="Times New Roman"/>
          <w:b w:val="false"/>
          <w:i w:val="false"/>
          <w:color w:val="000000"/>
          <w:sz w:val="24"/>
          <w:lang w:val="pl-PL"/>
        </w:rPr>
        <w:t> Funkcji wójta oraz jego zastępcy nie można łączyć z:</w:t>
      </w:r>
    </w:p>
    <w:p>
      <w:pPr>
        <w:spacing w:before="26" w:after="0"/>
        <w:ind w:left="373"/>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xml:space="preserve"> funkcją wójta lub jego zastępcy w innej gminie;</w:t>
      </w:r>
    </w:p>
    <w:p>
      <w:pPr>
        <w:spacing w:before="26" w:after="0"/>
        <w:ind w:left="373"/>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xml:space="preserve"> członkostwem w organach jednostek samorządu terytorialnego, w tym w gminie, w której jest wójtem lub zastępcą wójta;</w:t>
      </w:r>
    </w:p>
    <w:p>
      <w:pPr>
        <w:spacing w:before="26" w:after="0"/>
        <w:ind w:left="373"/>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xml:space="preserve"> zatrudnieniem w administracji rządowej;</w:t>
      </w:r>
    </w:p>
    <w:p>
      <w:pPr>
        <w:spacing w:before="26" w:after="0"/>
        <w:ind w:left="373"/>
        <w:jc w:val="left"/>
        <w:textAlignment w:val="auto"/>
      </w:pPr>
      <w:r>
        <w:rPr>
          <w:rFonts w:ascii="Times New Roman"/>
          <w:b w:val="false"/>
          <w:i w:val="false"/>
          <w:color w:val="000000"/>
          <w:sz w:val="24"/>
          <w:lang w:val="pl-PL"/>
        </w:rPr>
        <w:t>4)</w:t>
      </w:r>
      <w:r>
        <w:rPr>
          <w:rFonts w:ascii="Times New Roman"/>
          <w:b w:val="false"/>
          <w:i w:val="false"/>
          <w:color w:val="000000"/>
          <w:sz w:val="24"/>
          <w:lang w:val="pl-PL"/>
        </w:rPr>
        <w:t xml:space="preserve"> mandatem posła lub senatora.</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28.</w:t>
      </w:r>
      <w:r>
        <w:rPr>
          <w:rFonts w:ascii="Times New Roman"/>
          <w:b/>
          <w:i w:val="false"/>
          <w:color w:val="000000"/>
          <w:sz w:val="24"/>
          <w:lang w:val="pl-PL"/>
        </w:rPr>
        <w:t xml:space="preserve"> [Wykonywanie funkcji wójta oraz jego zastępcy]</w:t>
      </w:r>
    </w:p>
    <w:p>
      <w:pPr>
        <w:spacing w:after="0"/>
        <w:ind w:left="0"/>
        <w:jc w:val="left"/>
        <w:textAlignment w:val="auto"/>
      </w:pPr>
      <w:r>
        <w:rPr>
          <w:rFonts w:ascii="Times New Roman"/>
          <w:b w:val="false"/>
          <w:i w:val="false"/>
          <w:color w:val="000000"/>
          <w:sz w:val="24"/>
          <w:lang w:val="pl-PL"/>
        </w:rPr>
        <w:t> Do wójta i jego zastępców stosuje się odpowiednio przepis art. 24e ust. 1.</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28a.</w:t>
      </w:r>
      <w:r>
        <w:rPr>
          <w:rFonts w:ascii="Times New Roman"/>
          <w:b/>
          <w:i w:val="false"/>
          <w:color w:val="000000"/>
          <w:sz w:val="24"/>
          <w:lang w:val="pl-PL"/>
        </w:rPr>
        <w:t xml:space="preserve"> [Absolutorium. Referendum w sprawie odwołania wójta z powodu nieudzielenia absolutorium]</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Uchwała rady gminy w sprawie nieudzielenia wójtowi absolutorium, podjęta po upływie 9 miesięcy od dnia wyboru wójta i nie później niż na 9 miesięcy przed zakończeniem kadencji, jest równoznaczna z podjęciem inicjatywy przeprowadzenia referendum w sprawie odwołania wójta. Przed podjęciem uchwały w sprawie udzielenia wójtowi absolutorium rada gminy zapoznaje się z wnioskiem i opinią, o których mowa w art. 18a ust. 3.</w:t>
      </w: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Uchwałę w sprawie absolutorium rada gminy podejmuje bezwzględną większością głosów ustawowego składu rady gminy.</w:t>
      </w:r>
    </w:p>
    <w:p>
      <w:pPr>
        <w:spacing w:before="26" w:after="0"/>
        <w:ind w:left="0"/>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Rada gminy może podjąć uchwałę o przeprowadzeniu referendum w sprawie odwołania wójta z przyczyny określonej w ust. 1 na sesji zwołanej nie wcześniej niż po upływie 14 dni od dnia podjęcia uchwały w sprawie nieudzielenia wójtowi absolutorium.</w:t>
      </w:r>
    </w:p>
    <w:p>
      <w:pPr>
        <w:spacing w:before="26" w:after="0"/>
        <w:ind w:left="0"/>
        <w:jc w:val="left"/>
        <w:textAlignment w:val="auto"/>
      </w:pPr>
      <w:r>
        <w:rPr>
          <w:rFonts w:ascii="Times New Roman"/>
          <w:b w:val="false"/>
          <w:i w:val="false"/>
          <w:color w:val="000000"/>
          <w:sz w:val="24"/>
          <w:lang w:val="pl-PL"/>
        </w:rPr>
        <w:t>4.</w:t>
      </w:r>
      <w:r>
        <w:rPr>
          <w:rFonts w:ascii="Times New Roman"/>
          <w:b w:val="false"/>
          <w:i w:val="false"/>
          <w:color w:val="000000"/>
          <w:sz w:val="24"/>
          <w:lang w:val="pl-PL"/>
        </w:rPr>
        <w:t> Przed podjęciem uchwały, o której mowa w ust. 3, rada gminy zapoznaje się z opinią regionalnej izby obrachunkowej w sprawie uchwały rady gminy o nieudzieleniu wójtowi absolutorium oraz wysłuchuje wyjaśnień wójta.</w:t>
      </w:r>
    </w:p>
    <w:p>
      <w:pPr>
        <w:spacing w:before="26" w:after="0"/>
        <w:ind w:left="0"/>
        <w:jc w:val="left"/>
        <w:textAlignment w:val="auto"/>
      </w:pPr>
      <w:r>
        <w:rPr>
          <w:rFonts w:ascii="Times New Roman"/>
          <w:b w:val="false"/>
          <w:i w:val="false"/>
          <w:color w:val="000000"/>
          <w:sz w:val="24"/>
          <w:lang w:val="pl-PL"/>
        </w:rPr>
        <w:t>5.</w:t>
      </w:r>
      <w:r>
        <w:rPr>
          <w:rFonts w:ascii="Times New Roman"/>
          <w:b w:val="false"/>
          <w:i w:val="false"/>
          <w:color w:val="000000"/>
          <w:sz w:val="24"/>
          <w:lang w:val="pl-PL"/>
        </w:rPr>
        <w:t> Uchwałę, o której mowa w ust. 3, rada gminy podejmuje bezwzględną większością głosów ustawowego składu rady, w głosowaniu imiennym.</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28aa.</w:t>
      </w:r>
      <w:r>
        <w:rPr>
          <w:rFonts w:ascii="Times New Roman"/>
          <w:b/>
          <w:i w:val="false"/>
          <w:color w:val="000000"/>
          <w:sz w:val="24"/>
          <w:lang w:val="pl-PL"/>
        </w:rPr>
        <w:t xml:space="preserve"> [Raport o stanie jst]</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Wójt co roku do dnia 31 maja przedstawia radzie gminy raport o stanie gminy.</w:t>
      </w: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Raport obejmuje podsumowanie działalności wójta w roku poprzednim, w szczególności realizację polityk, programów i strategii, uchwał rady gminy i budżetu obywatelskiego.</w:t>
      </w:r>
    </w:p>
    <w:p>
      <w:pPr>
        <w:spacing w:before="26" w:after="0"/>
        <w:ind w:left="0"/>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Rada gminy może określić w drodze uchwały szczegółowe wymogi dotyczące raportu.</w:t>
      </w:r>
    </w:p>
    <w:p>
      <w:pPr>
        <w:spacing w:before="26" w:after="0"/>
        <w:ind w:left="0"/>
        <w:jc w:val="left"/>
        <w:textAlignment w:val="auto"/>
      </w:pPr>
      <w:r>
        <w:rPr>
          <w:rFonts w:ascii="Times New Roman"/>
          <w:b w:val="false"/>
          <w:i w:val="false"/>
          <w:color w:val="000000"/>
          <w:sz w:val="24"/>
          <w:lang w:val="pl-PL"/>
        </w:rPr>
        <w:t>3a.</w:t>
      </w:r>
      <w:r>
        <w:rPr>
          <w:rFonts w:ascii="Times New Roman"/>
          <w:b w:val="false"/>
          <w:i w:val="false"/>
          <w:color w:val="000000"/>
          <w:sz w:val="24"/>
          <w:lang w:val="pl-PL"/>
        </w:rPr>
        <w:t xml:space="preserve"> W gminach, które posiadają miejski plan adaptacji, przy sporządzaniu raportu o stanie gminy uwzględnia się wnioski i rekomendacje zawarte w sprawozdaniu, o którym mowa w </w:t>
      </w:r>
      <w:r>
        <w:rPr>
          <w:rFonts w:ascii="Times New Roman"/>
          <w:b w:val="false"/>
          <w:i w:val="false"/>
          <w:color w:val="1b1b1b"/>
          <w:sz w:val="24"/>
          <w:lang w:val="pl-PL"/>
        </w:rPr>
        <w:t>art. 18c ust. 1 pkt 2</w:t>
      </w:r>
      <w:r>
        <w:rPr>
          <w:rFonts w:ascii="Times New Roman"/>
          <w:b w:val="false"/>
          <w:i w:val="false"/>
          <w:color w:val="000000"/>
          <w:sz w:val="24"/>
          <w:lang w:val="pl-PL"/>
        </w:rPr>
        <w:t xml:space="preserve"> ustawy z dnia 27 kwietnia 2001 r. - Prawo ochrony środowiska (Dz. U. z 2025 r. poz. 647).</w:t>
      </w:r>
    </w:p>
    <w:p>
      <w:pPr>
        <w:spacing w:before="26" w:after="0"/>
        <w:ind w:left="0"/>
        <w:jc w:val="left"/>
        <w:textAlignment w:val="auto"/>
      </w:pPr>
      <w:r>
        <w:rPr>
          <w:rFonts w:ascii="Times New Roman"/>
          <w:b w:val="false"/>
          <w:i w:val="false"/>
          <w:color w:val="000000"/>
          <w:sz w:val="24"/>
          <w:lang w:val="pl-PL"/>
        </w:rPr>
        <w:t>4.</w:t>
      </w:r>
      <w:r>
        <w:rPr>
          <w:rFonts w:ascii="Times New Roman"/>
          <w:b w:val="false"/>
          <w:i w:val="false"/>
          <w:color w:val="000000"/>
          <w:sz w:val="24"/>
          <w:lang w:val="pl-PL"/>
        </w:rPr>
        <w:t> Rada gminy rozpatruje raport, o którym mowa w ust. 1, podczas sesji, na której podejmowana jest uchwała rady gminy w sprawie udzielenia lub nieudzielenia absolutorium wójtowi. Raport rozpatrywany jest w pierwszej kolejności. Nad przedstawionym raportem o stanie gminy przeprowadza się debatę.</w:t>
      </w:r>
    </w:p>
    <w:p>
      <w:pPr>
        <w:spacing w:before="26" w:after="0"/>
        <w:ind w:left="0"/>
        <w:jc w:val="left"/>
        <w:textAlignment w:val="auto"/>
      </w:pPr>
      <w:r>
        <w:rPr>
          <w:rFonts w:ascii="Times New Roman"/>
          <w:b w:val="false"/>
          <w:i w:val="false"/>
          <w:color w:val="000000"/>
          <w:sz w:val="24"/>
          <w:lang w:val="pl-PL"/>
        </w:rPr>
        <w:t>5.</w:t>
      </w:r>
      <w:r>
        <w:rPr>
          <w:rFonts w:ascii="Times New Roman"/>
          <w:b w:val="false"/>
          <w:i w:val="false"/>
          <w:color w:val="000000"/>
          <w:sz w:val="24"/>
          <w:lang w:val="pl-PL"/>
        </w:rPr>
        <w:t> W debacie nad raportem o stanie gminy radni zabierają głos bez ograniczeń czasowych.</w:t>
      </w:r>
    </w:p>
    <w:p>
      <w:pPr>
        <w:spacing w:before="26" w:after="0"/>
        <w:ind w:left="0"/>
        <w:jc w:val="left"/>
        <w:textAlignment w:val="auto"/>
      </w:pPr>
      <w:r>
        <w:rPr>
          <w:rFonts w:ascii="Times New Roman"/>
          <w:b w:val="false"/>
          <w:i w:val="false"/>
          <w:color w:val="000000"/>
          <w:sz w:val="24"/>
          <w:lang w:val="pl-PL"/>
        </w:rPr>
        <w:t>6.</w:t>
      </w:r>
      <w:r>
        <w:rPr>
          <w:rFonts w:ascii="Times New Roman"/>
          <w:b w:val="false"/>
          <w:i w:val="false"/>
          <w:color w:val="000000"/>
          <w:sz w:val="24"/>
          <w:lang w:val="pl-PL"/>
        </w:rPr>
        <w:t> W debacie nad raportem o stanie gminy mieszkańcy gminy mogą zabierać głos.</w:t>
      </w:r>
    </w:p>
    <w:p>
      <w:pPr>
        <w:spacing w:before="26" w:after="0"/>
        <w:ind w:left="0"/>
        <w:jc w:val="left"/>
        <w:textAlignment w:val="auto"/>
      </w:pPr>
      <w:r>
        <w:rPr>
          <w:rFonts w:ascii="Times New Roman"/>
          <w:b w:val="false"/>
          <w:i w:val="false"/>
          <w:color w:val="000000"/>
          <w:sz w:val="24"/>
          <w:lang w:val="pl-PL"/>
        </w:rPr>
        <w:t>7.</w:t>
      </w:r>
      <w:r>
        <w:rPr>
          <w:rFonts w:ascii="Times New Roman"/>
          <w:b w:val="false"/>
          <w:i w:val="false"/>
          <w:color w:val="000000"/>
          <w:sz w:val="24"/>
          <w:lang w:val="pl-PL"/>
        </w:rPr>
        <w:t> Mieszkaniec, który chciałby zabrać głos w trybie określonym w ust. 6, składa do przewodniczącego rady pisemne zgłoszenie, poparte podpisami:</w:t>
      </w:r>
    </w:p>
    <w:p>
      <w:pPr>
        <w:spacing w:before="26" w:after="0"/>
        <w:ind w:left="373"/>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xml:space="preserve"> w gminie do 20 000 mieszkańców - co najmniej 20 osób;</w:t>
      </w:r>
    </w:p>
    <w:p>
      <w:pPr>
        <w:spacing w:before="26" w:after="0"/>
        <w:ind w:left="373"/>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xml:space="preserve"> w gminie powyżej 20 000 mieszkańców - co najmniej 50 osób.</w:t>
      </w:r>
    </w:p>
    <w:p>
      <w:pPr>
        <w:spacing w:before="26" w:after="0"/>
        <w:ind w:left="0"/>
        <w:jc w:val="left"/>
        <w:textAlignment w:val="auto"/>
      </w:pPr>
      <w:r>
        <w:rPr>
          <w:rFonts w:ascii="Times New Roman"/>
          <w:b w:val="false"/>
          <w:i w:val="false"/>
          <w:color w:val="000000"/>
          <w:sz w:val="24"/>
          <w:lang w:val="pl-PL"/>
        </w:rPr>
        <w:t>8.</w:t>
      </w:r>
      <w:r>
        <w:rPr>
          <w:rFonts w:ascii="Times New Roman"/>
          <w:b w:val="false"/>
          <w:i w:val="false"/>
          <w:color w:val="000000"/>
          <w:sz w:val="24"/>
          <w:lang w:val="pl-PL"/>
        </w:rPr>
        <w:t> Zgłoszenie składa się najpóźniej w dniu poprzedzającym dzień, na który zwołana została sesja, podczas której ma być przedstawiany raport o stanie gminy. Mieszkańcy są dopuszczani do głosu według kolejności otrzymania przez przewodniczącego rady zgłoszenia. Liczba mieszkańców mogących zabrać głos w debacie wynosi 15, chyba że rada postanowi o zwiększeniu tej liczby.</w:t>
      </w:r>
    </w:p>
    <w:p>
      <w:pPr>
        <w:spacing w:before="26" w:after="0"/>
        <w:ind w:left="0"/>
        <w:jc w:val="left"/>
        <w:textAlignment w:val="auto"/>
      </w:pPr>
      <w:r>
        <w:rPr>
          <w:rFonts w:ascii="Times New Roman"/>
          <w:b w:val="false"/>
          <w:i w:val="false"/>
          <w:color w:val="000000"/>
          <w:sz w:val="24"/>
          <w:lang w:val="pl-PL"/>
        </w:rPr>
        <w:t>9.</w:t>
      </w:r>
      <w:r>
        <w:rPr>
          <w:rFonts w:ascii="Times New Roman"/>
          <w:b w:val="false"/>
          <w:i w:val="false"/>
          <w:color w:val="000000"/>
          <w:sz w:val="24"/>
          <w:lang w:val="pl-PL"/>
        </w:rPr>
        <w:t> Po zakończeniu debaty nad raportem o stanie gminy rada gminy przeprowadza głosowanie nad udzieleniem wójtowi wotum zaufania. Uchwałę o udzieleniu wójtowi wotum zaufania rada gminy podejmuje bezwzględną większością głosów ustawowego składu rady gminy. Niepodjęcie uchwały o udzieleniu wójtowi wotum zaufania jest równoznaczne z podjęciem uchwały o nieudzieleniu wójtowi wotum zaufania.</w:t>
      </w:r>
    </w:p>
    <w:p>
      <w:pPr>
        <w:spacing w:before="26" w:after="0"/>
        <w:ind w:left="0"/>
        <w:jc w:val="left"/>
        <w:textAlignment w:val="auto"/>
      </w:pPr>
      <w:r>
        <w:rPr>
          <w:rFonts w:ascii="Times New Roman"/>
          <w:b w:val="false"/>
          <w:i w:val="false"/>
          <w:color w:val="000000"/>
          <w:sz w:val="24"/>
          <w:lang w:val="pl-PL"/>
        </w:rPr>
        <w:t>10.</w:t>
      </w:r>
      <w:r>
        <w:rPr>
          <w:rFonts w:ascii="Times New Roman"/>
          <w:b w:val="false"/>
          <w:i w:val="false"/>
          <w:color w:val="000000"/>
          <w:sz w:val="24"/>
          <w:lang w:val="pl-PL"/>
        </w:rPr>
        <w:t> W przypadku nieudzielenia wójtowi wotum zaufania w dwóch kolejnych latach rada gminy może podjąć uchwałę o przeprowadzeniu referendum w sprawie odwołania wójta. Przepisy art. 28a ust. 3 i 5 stosuje się odpowiednio.</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28b.</w:t>
      </w:r>
      <w:r>
        <w:rPr>
          <w:rFonts w:ascii="Times New Roman"/>
          <w:b/>
          <w:i w:val="false"/>
          <w:color w:val="000000"/>
          <w:sz w:val="24"/>
          <w:lang w:val="pl-PL"/>
        </w:rPr>
        <w:t xml:space="preserve"> [Referendum w sprawie odwołania wójta z przyczyny innej niż nieudzielenie wójtowi absolutorium lub wotum zaufania]</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Rada gminy, po upływie 9 miesięcy od dnia wyboru wójta i nie później niż na 9 miesięcy przed zakończeniem kadencji, może podjąć uchwałę o przeprowadzeniu referendum w sprawie odwołania wójta z przyczyny innej niż nieudzielenie wójtowi absolutorium lub nieudzielenie wójtowi wotum zaufania jedynie na wniosek co najmniej 1/4 ustawowego składu rady.</w:t>
      </w: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Wniosek, o którym mowa w ust. 1, wymaga formy pisemnej i uzasadnienia przyczyny odwołania oraz podlega zaopiniowaniu przez komisję rewizyjną.</w:t>
      </w:r>
    </w:p>
    <w:p>
      <w:pPr>
        <w:spacing w:before="26" w:after="0"/>
        <w:ind w:left="0"/>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Rada gminy może podjąć uchwałę o przeprowadzeniu referendum w sprawie odwołania wójta na sesji zwołanej nie wcześniej niż po upływie 14 dni od dnia złożenia wniosku, o którym mowa w ust. 1.</w:t>
      </w:r>
    </w:p>
    <w:p>
      <w:pPr>
        <w:spacing w:before="26" w:after="0"/>
        <w:ind w:left="0"/>
        <w:jc w:val="left"/>
        <w:textAlignment w:val="auto"/>
      </w:pPr>
      <w:r>
        <w:rPr>
          <w:rFonts w:ascii="Times New Roman"/>
          <w:b w:val="false"/>
          <w:i w:val="false"/>
          <w:color w:val="000000"/>
          <w:sz w:val="24"/>
          <w:lang w:val="pl-PL"/>
        </w:rPr>
        <w:t>4.</w:t>
      </w:r>
      <w:r>
        <w:rPr>
          <w:rFonts w:ascii="Times New Roman"/>
          <w:b w:val="false"/>
          <w:i w:val="false"/>
          <w:color w:val="000000"/>
          <w:sz w:val="24"/>
          <w:lang w:val="pl-PL"/>
        </w:rPr>
        <w:t> Uchwałę, o której mowa w ust. 3, rada gminy podejmuje większością co najmniej 3/5 głosów ustawowego składu rady, w głosowaniu imiennym.</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28c.</w:t>
      </w:r>
      <w:r>
        <w:rPr>
          <w:rFonts w:ascii="Times New Roman"/>
          <w:b/>
          <w:i w:val="false"/>
          <w:color w:val="000000"/>
          <w:sz w:val="24"/>
          <w:lang w:val="pl-PL"/>
        </w:rPr>
        <w:t xml:space="preserve"> [Kolejny wniosek o przeprowadzenie referendum w sprawie odwołania wójta]</w:t>
      </w:r>
    </w:p>
    <w:p>
      <w:pPr>
        <w:spacing w:after="0"/>
        <w:ind w:left="0"/>
        <w:jc w:val="left"/>
        <w:textAlignment w:val="auto"/>
      </w:pPr>
      <w:r>
        <w:rPr>
          <w:rFonts w:ascii="Times New Roman"/>
          <w:b w:val="false"/>
          <w:i w:val="false"/>
          <w:color w:val="000000"/>
          <w:sz w:val="24"/>
          <w:lang w:val="pl-PL"/>
        </w:rPr>
        <w:t> Jeżeli zgłoszony w trybie art. 28b wniosek o podjęcie uchwały o przeprowadzeniu referendum w sprawie odwołania wójta nie uzyskał wymaganej większości głosów, kolejny wniosek może być zgłoszony w tym trybie nie wcześniej niż po upływie 12 miesięcy od poprzedniego głosowania.</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28d.</w:t>
      </w:r>
      <w:r>
        <w:rPr>
          <w:rFonts w:ascii="Times New Roman"/>
          <w:b/>
          <w:i w:val="false"/>
          <w:color w:val="000000"/>
          <w:sz w:val="24"/>
          <w:lang w:val="pl-PL"/>
        </w:rPr>
        <w:t xml:space="preserve"> [Wybory przedterminowe wójta]</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xml:space="preserve"> W przypadku wygaśnięcia mandatu wójta przed upływem kadencji, przeprowadza się wybory przedterminowe na zasadach określonych w </w:t>
      </w:r>
      <w:r>
        <w:rPr>
          <w:rFonts w:ascii="Times New Roman"/>
          <w:b w:val="false"/>
          <w:i w:val="false"/>
          <w:color w:val="1b1b1b"/>
          <w:sz w:val="24"/>
          <w:lang w:val="pl-PL"/>
        </w:rPr>
        <w:t>ustawie</w:t>
      </w:r>
      <w:r>
        <w:rPr>
          <w:rFonts w:ascii="Times New Roman"/>
          <w:b w:val="false"/>
          <w:i w:val="false"/>
          <w:color w:val="000000"/>
          <w:sz w:val="24"/>
          <w:lang w:val="pl-PL"/>
        </w:rPr>
        <w:t>, o której mowa w art. 24b ust. 6.</w:t>
      </w: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Wyborów nie przeprowadza się, jeżeli data wyborów przedterminowych miałaby przypaść w okresie 6 miesięcy przed zakończeniem kadencji wójta. Wyborów przedterminowych nie przeprowadza się także wtedy, jeżeli data wyborów miałaby przypaść w okresie dłuższym niż 6 a krótszym niż 12 miesięcy przed zakończeniem kadencji wójta i rada w terminie 30 dni od dnia podjęcia uchwały stwierdzającej wygaśnięcie mandatu wójta podejmie uchwałę o nieprzeprowadzaniu wyborów.</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28e.</w:t>
      </w:r>
      <w:r>
        <w:rPr>
          <w:rFonts w:ascii="Times New Roman"/>
          <w:b/>
          <w:i w:val="false"/>
          <w:color w:val="000000"/>
          <w:sz w:val="24"/>
          <w:lang w:val="pl-PL"/>
        </w:rPr>
        <w:t xml:space="preserve"> [Odwołanie zastępcy lub zastępców wójta]</w:t>
      </w:r>
    </w:p>
    <w:p>
      <w:pPr>
        <w:spacing w:after="0"/>
        <w:ind w:left="0"/>
        <w:jc w:val="left"/>
        <w:textAlignment w:val="auto"/>
      </w:pPr>
      <w:r>
        <w:rPr>
          <w:rFonts w:ascii="Times New Roman"/>
          <w:b w:val="false"/>
          <w:i w:val="false"/>
          <w:color w:val="000000"/>
          <w:sz w:val="24"/>
          <w:lang w:val="pl-PL"/>
        </w:rPr>
        <w:t xml:space="preserve"> Wygaśnięcie mandatu wójta przed upływem kadencji z przyczyn, o których mowa w </w:t>
      </w:r>
      <w:r>
        <w:rPr>
          <w:rFonts w:ascii="Times New Roman"/>
          <w:b w:val="false"/>
          <w:i w:val="false"/>
          <w:color w:val="1b1b1b"/>
          <w:sz w:val="24"/>
          <w:lang w:val="pl-PL"/>
        </w:rPr>
        <w:t>art. 492 § 1 pkt 8</w:t>
      </w:r>
      <w:r>
        <w:rPr>
          <w:rFonts w:ascii="Times New Roman"/>
          <w:b w:val="false"/>
          <w:i w:val="false"/>
          <w:color w:val="000000"/>
          <w:sz w:val="24"/>
          <w:lang w:val="pl-PL"/>
        </w:rPr>
        <w:t xml:space="preserve"> lub </w:t>
      </w:r>
      <w:r>
        <w:rPr>
          <w:rFonts w:ascii="Times New Roman"/>
          <w:b w:val="false"/>
          <w:i w:val="false"/>
          <w:color w:val="1b1b1b"/>
          <w:sz w:val="24"/>
          <w:lang w:val="pl-PL"/>
        </w:rPr>
        <w:t>9</w:t>
      </w:r>
      <w:r>
        <w:rPr>
          <w:rFonts w:ascii="Times New Roman"/>
          <w:b w:val="false"/>
          <w:i w:val="false"/>
          <w:color w:val="000000"/>
          <w:sz w:val="24"/>
          <w:lang w:val="pl-PL"/>
        </w:rPr>
        <w:t xml:space="preserve"> ustawy z dnia 5 stycznia 2011 r. - Kodeks wyborczy, jest równoznaczne z odwołaniem jego zastępcy lub zastępców.</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28f.</w:t>
      </w:r>
      <w:r>
        <w:rPr>
          <w:rFonts w:ascii="Times New Roman"/>
          <w:b/>
          <w:i w:val="false"/>
          <w:color w:val="000000"/>
          <w:sz w:val="24"/>
          <w:lang w:val="pl-PL"/>
        </w:rPr>
        <w:t xml:space="preserve"> [Osoba pełniąca funkcję wójta w przypadku wygaśnięcia mandatu wójta przed upływem kadencji]</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W przypadku wygaśnięcia mandatu wójta przed upływem kadencji jego funkcję, do czasu objęcia obowiązków przez nowo wybranego wójta, pełni:</w:t>
      </w:r>
    </w:p>
    <w:p>
      <w:pPr>
        <w:spacing w:before="26" w:after="0"/>
        <w:ind w:left="373"/>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xml:space="preserve"> zastępca wójta;</w:t>
      </w:r>
    </w:p>
    <w:p>
      <w:pPr>
        <w:spacing w:before="26" w:after="0"/>
        <w:ind w:left="373"/>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xml:space="preserve"> pierwszy zastępca - w gminie, w której powołano więcej niż jednego zastępcę;</w:t>
      </w:r>
    </w:p>
    <w:p>
      <w:pPr>
        <w:spacing w:before="26" w:after="0"/>
        <w:ind w:left="373"/>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xml:space="preserve"> osoba wyznaczona przez Prezesa Rady Ministrów - w gminie, w której nie powołano zastępcy wójta albo został on odwołany.</w:t>
      </w:r>
    </w:p>
    <w:p>
      <w:pPr>
        <w:spacing w:after="0"/>
        <w:ind w:left="0"/>
        <w:jc w:val="left"/>
        <w:textAlignment w:val="auto"/>
      </w:pP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Przewodniczący rady, w terminie 7 dni od dnia wygaśnięcia mandatu wójta, pisemnie informuje wojewodę o objęciu funkcji wójta przez zastępcę albo pierwszego zastępcę, albo o konieczności wyznaczenia przez Prezesa Rady Ministrów osoby pełniącej funkcję wójta.</w:t>
      </w:r>
    </w:p>
    <w:p>
      <w:pPr>
        <w:spacing w:before="26" w:after="0"/>
        <w:ind w:left="0"/>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Prezes Rady Ministrów, na wniosek wojewody przekazany niezwłocznie za pośrednictwem ministra właściwego do spraw administracji publicznej, w terminie 7 dni od dnia otrzymania wniosku, wyznacza osobę pełniącą funkcję wójta do czasu objęcia obowiązków przez nowo wybranego wójta.</w:t>
      </w:r>
    </w:p>
    <w:p>
      <w:pPr>
        <w:spacing w:before="26" w:after="0"/>
        <w:ind w:left="0"/>
        <w:jc w:val="left"/>
        <w:textAlignment w:val="auto"/>
      </w:pPr>
      <w:r>
        <w:rPr>
          <w:rFonts w:ascii="Times New Roman"/>
          <w:b w:val="false"/>
          <w:i w:val="false"/>
          <w:color w:val="000000"/>
          <w:sz w:val="24"/>
          <w:lang w:val="pl-PL"/>
        </w:rPr>
        <w:t>4.</w:t>
      </w:r>
      <w:r>
        <w:rPr>
          <w:rFonts w:ascii="Times New Roman"/>
          <w:b w:val="false"/>
          <w:i w:val="false"/>
          <w:color w:val="000000"/>
          <w:sz w:val="24"/>
          <w:lang w:val="pl-PL"/>
        </w:rPr>
        <w:t> W przypadku wygaśnięcia mandatu wójta w czasie wykonywania zadań i kompetencji wójta przez zastępcę wójta albo osobę, o której mowa w art. 28h, funkcję wójta, do czasu objęcia obowiązków przez nowo wybranego wójta, pełni osoba, która przejęła wykonywanie zadań i kompetencji wójta na podstawie art. 28g.</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28g.</w:t>
      </w:r>
      <w:r>
        <w:rPr>
          <w:rFonts w:ascii="Times New Roman"/>
          <w:b/>
          <w:i w:val="false"/>
          <w:color w:val="000000"/>
          <w:sz w:val="24"/>
          <w:lang w:val="pl-PL"/>
        </w:rPr>
        <w:t xml:space="preserve"> [Przejęcie zadań i kompetencji wójta. Przemijająca przeszkoda]</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W przypadku przemijającej przeszkody w wykonywaniu zadań i kompetencji wójta spowodowanej jedną z następujących okoliczności:</w:t>
      </w:r>
    </w:p>
    <w:p>
      <w:pPr>
        <w:spacing w:before="26" w:after="0"/>
        <w:ind w:left="373"/>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xml:space="preserve"> tymczasowym aresztowaniem,</w:t>
      </w:r>
    </w:p>
    <w:p>
      <w:pPr>
        <w:spacing w:before="26" w:after="0"/>
        <w:ind w:left="373"/>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xml:space="preserve"> odbywaniem kary pozbawienia wolności wymierzonej za przestępstwo nieumyślne,</w:t>
      </w:r>
    </w:p>
    <w:p>
      <w:pPr>
        <w:spacing w:before="26" w:after="0"/>
        <w:ind w:left="373"/>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xml:space="preserve"> odbywaniem kary aresztu,</w:t>
      </w:r>
    </w:p>
    <w:p>
      <w:pPr>
        <w:spacing w:before="26" w:after="0"/>
        <w:ind w:left="373"/>
        <w:jc w:val="left"/>
        <w:textAlignment w:val="auto"/>
      </w:pPr>
      <w:r>
        <w:rPr>
          <w:rFonts w:ascii="Times New Roman"/>
          <w:b w:val="false"/>
          <w:i w:val="false"/>
          <w:color w:val="000000"/>
          <w:sz w:val="24"/>
          <w:lang w:val="pl-PL"/>
        </w:rPr>
        <w:t>4)</w:t>
      </w:r>
      <w:r>
        <w:rPr>
          <w:rFonts w:ascii="Times New Roman"/>
          <w:b w:val="false"/>
          <w:i w:val="false"/>
          <w:color w:val="000000"/>
          <w:sz w:val="24"/>
          <w:lang w:val="pl-PL"/>
        </w:rPr>
        <w:t xml:space="preserve"> niezdolnością do pracy z powodu choroby trwającej powyżej 30 dni,</w:t>
      </w:r>
    </w:p>
    <w:p>
      <w:pPr>
        <w:spacing w:before="26" w:after="0"/>
        <w:ind w:left="373"/>
        <w:jc w:val="left"/>
        <w:textAlignment w:val="auto"/>
      </w:pPr>
      <w:r>
        <w:rPr>
          <w:rFonts w:ascii="Times New Roman"/>
          <w:b w:val="false"/>
          <w:i w:val="false"/>
          <w:color w:val="000000"/>
          <w:sz w:val="24"/>
          <w:lang w:val="pl-PL"/>
        </w:rPr>
        <w:t>5)</w:t>
      </w:r>
      <w:r>
        <w:rPr>
          <w:rFonts w:ascii="Times New Roman"/>
          <w:b w:val="false"/>
          <w:i w:val="false"/>
          <w:color w:val="000000"/>
          <w:sz w:val="24"/>
          <w:lang w:val="pl-PL"/>
        </w:rPr>
        <w:t xml:space="preserve"> zawieszeniem w czynnościach służbowych</w:t>
      </w:r>
    </w:p>
    <w:p>
      <w:pPr>
        <w:spacing w:before="25" w:after="0"/>
        <w:ind w:left="0"/>
        <w:jc w:val="left"/>
        <w:textAlignment w:val="auto"/>
      </w:pPr>
      <w:r>
        <w:rPr>
          <w:rFonts w:ascii="Times New Roman"/>
          <w:b w:val="false"/>
          <w:i w:val="false"/>
          <w:color w:val="000000"/>
          <w:sz w:val="24"/>
          <w:lang w:val="pl-PL"/>
        </w:rPr>
        <w:t>- jego zadania i kompetencje przejmuje zastępca, a w gminach, w których powołano więcej niż jednego zastępcę - pierwszy zastępca.</w:t>
      </w:r>
    </w:p>
    <w:p>
      <w:pPr>
        <w:spacing w:after="0"/>
        <w:ind w:left="0"/>
        <w:jc w:val="left"/>
        <w:textAlignment w:val="auto"/>
      </w:pP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W przypadku gdy w gminie nie powołano zastępcy wójta zadania i kompetencje wójta przejmuje osoba, o której mowa w art. 28h.</w:t>
      </w:r>
    </w:p>
    <w:p>
      <w:pPr>
        <w:spacing w:before="26" w:after="0"/>
        <w:ind w:left="0"/>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W przypadku przemijającej przeszkody w wykonywaniu zadań i kompetencji przez zastępcę albo pierwszego zastępcę, spowodowanej przez jedną z okoliczności, o których mowa w ust. 1, zadania i kompetencje wójta przejmuje osoba, o której mowa w art. 28h.</w:t>
      </w:r>
    </w:p>
    <w:p>
      <w:pPr>
        <w:spacing w:before="26" w:after="0"/>
        <w:ind w:left="0"/>
        <w:jc w:val="left"/>
        <w:textAlignment w:val="auto"/>
      </w:pPr>
      <w:r>
        <w:rPr>
          <w:rFonts w:ascii="Times New Roman"/>
          <w:b w:val="false"/>
          <w:i w:val="false"/>
          <w:color w:val="000000"/>
          <w:sz w:val="24"/>
          <w:lang w:val="pl-PL"/>
        </w:rPr>
        <w:t>3a.</w:t>
      </w:r>
      <w:r>
        <w:rPr>
          <w:rFonts w:ascii="Times New Roman"/>
          <w:b w:val="false"/>
          <w:i w:val="false"/>
          <w:color w:val="000000"/>
          <w:sz w:val="24"/>
          <w:lang w:val="pl-PL"/>
        </w:rPr>
        <w:t> W przypadku gdy przemijająca przeszkoda w wykonywaniu zadań i kompetencji wójta spowodowana przez jedną z okoliczności, o których mowa w ust. 1, zaistnieje przed złożeniem przez wójta ślubowania, zadania i kompetencje wójta przejmuje osoba, o której mowa w art. 28h.</w:t>
      </w:r>
    </w:p>
    <w:p>
      <w:pPr>
        <w:spacing w:before="26" w:after="0"/>
        <w:ind w:left="0"/>
        <w:jc w:val="left"/>
        <w:textAlignment w:val="auto"/>
      </w:pPr>
      <w:r>
        <w:rPr>
          <w:rFonts w:ascii="Times New Roman"/>
          <w:b w:val="false"/>
          <w:i w:val="false"/>
          <w:color w:val="000000"/>
          <w:sz w:val="24"/>
          <w:lang w:val="pl-PL"/>
        </w:rPr>
        <w:t>4.</w:t>
      </w:r>
      <w:r>
        <w:rPr>
          <w:rFonts w:ascii="Times New Roman"/>
          <w:b w:val="false"/>
          <w:i w:val="false"/>
          <w:color w:val="000000"/>
          <w:sz w:val="24"/>
          <w:lang w:val="pl-PL"/>
        </w:rPr>
        <w:t> Potwierdzeniem zaistnienia okoliczności, o których mowa w ust. 1, są odpowiednio:</w:t>
      </w:r>
    </w:p>
    <w:p>
      <w:pPr>
        <w:spacing w:before="26" w:after="0"/>
        <w:ind w:left="373"/>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xml:space="preserve"> zawiadomienie pracodawcy, o którym mowa w </w:t>
      </w:r>
      <w:r>
        <w:rPr>
          <w:rFonts w:ascii="Times New Roman"/>
          <w:b w:val="false"/>
          <w:i w:val="false"/>
          <w:color w:val="1b1b1b"/>
          <w:sz w:val="24"/>
          <w:lang w:val="pl-PL"/>
        </w:rPr>
        <w:t>art. 261 § 3</w:t>
      </w:r>
      <w:r>
        <w:rPr>
          <w:rFonts w:ascii="Times New Roman"/>
          <w:b w:val="false"/>
          <w:i w:val="false"/>
          <w:color w:val="000000"/>
          <w:sz w:val="24"/>
          <w:lang w:val="pl-PL"/>
        </w:rPr>
        <w:t xml:space="preserve"> Kodeksu postępowania karnego - w przypadku okoliczności, o której mowa w ust. 1 pkt 1;</w:t>
      </w:r>
    </w:p>
    <w:p>
      <w:pPr>
        <w:spacing w:before="26" w:after="0"/>
        <w:ind w:left="373"/>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xml:space="preserve"> wezwanie sądu do odbycia kary pozbawienia wolności albo aresztu - w przypadku okoliczności, o których mowa w ust. 1 pkt 2 i 3;</w:t>
      </w:r>
    </w:p>
    <w:p>
      <w:pPr>
        <w:spacing w:before="26" w:after="0"/>
        <w:ind w:left="373"/>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xml:space="preserve"> zaświadczenie lekarskie, o którym mowa w </w:t>
      </w:r>
      <w:r>
        <w:rPr>
          <w:rFonts w:ascii="Times New Roman"/>
          <w:b w:val="false"/>
          <w:i w:val="false"/>
          <w:color w:val="1b1b1b"/>
          <w:sz w:val="24"/>
          <w:lang w:val="pl-PL"/>
        </w:rPr>
        <w:t>ustawie</w:t>
      </w:r>
      <w:r>
        <w:rPr>
          <w:rFonts w:ascii="Times New Roman"/>
          <w:b w:val="false"/>
          <w:i w:val="false"/>
          <w:color w:val="000000"/>
          <w:sz w:val="24"/>
          <w:lang w:val="pl-PL"/>
        </w:rPr>
        <w:t xml:space="preserve"> z dnia 25 czerwca 1999 r. o świadczeniach pieniężnych z ubezpieczenia społecznego w razie choroby i macierzyństwa (Dz. U. z 2025 r. poz. 501) - w przypadku okoliczności, o której mowa w ust. 1 pkt 4;</w:t>
      </w:r>
    </w:p>
    <w:p>
      <w:pPr>
        <w:spacing w:before="26" w:after="0"/>
        <w:ind w:left="373"/>
        <w:jc w:val="left"/>
        <w:textAlignment w:val="auto"/>
      </w:pPr>
      <w:r>
        <w:rPr>
          <w:rFonts w:ascii="Times New Roman"/>
          <w:b w:val="false"/>
          <w:i w:val="false"/>
          <w:color w:val="000000"/>
          <w:sz w:val="24"/>
          <w:lang w:val="pl-PL"/>
        </w:rPr>
        <w:t>4)</w:t>
      </w:r>
      <w:r>
        <w:rPr>
          <w:rFonts w:ascii="Times New Roman"/>
          <w:b w:val="false"/>
          <w:i w:val="false"/>
          <w:color w:val="000000"/>
          <w:sz w:val="24"/>
          <w:lang w:val="pl-PL"/>
        </w:rPr>
        <w:t xml:space="preserve"> postanowienie prokuratora albo postanowienie sądu o zastosowaniu środka zapobiegawczego w postaci zawieszenia w czynnościach służbowych, o którym mowa w </w:t>
      </w:r>
      <w:r>
        <w:rPr>
          <w:rFonts w:ascii="Times New Roman"/>
          <w:b w:val="false"/>
          <w:i w:val="false"/>
          <w:color w:val="1b1b1b"/>
          <w:sz w:val="24"/>
          <w:lang w:val="pl-PL"/>
        </w:rPr>
        <w:t>art. 276</w:t>
      </w:r>
      <w:r>
        <w:rPr>
          <w:rFonts w:ascii="Times New Roman"/>
          <w:b w:val="false"/>
          <w:i w:val="false"/>
          <w:color w:val="000000"/>
          <w:sz w:val="24"/>
          <w:lang w:val="pl-PL"/>
        </w:rPr>
        <w:t xml:space="preserve"> ustawy z dnia 6 czerwca 1997 r. - Kodeks postępowania karnego (Dz. U. z 2025 r. poz. 46 i 304) - w przypadku okoliczności, o której mowa w ust. 1 pkt 5.</w:t>
      </w:r>
    </w:p>
    <w:p>
      <w:pPr>
        <w:spacing w:before="26" w:after="0"/>
        <w:ind w:left="0"/>
        <w:jc w:val="left"/>
        <w:textAlignment w:val="auto"/>
      </w:pPr>
      <w:r>
        <w:rPr>
          <w:rFonts w:ascii="Times New Roman"/>
          <w:b w:val="false"/>
          <w:i w:val="false"/>
          <w:color w:val="000000"/>
          <w:sz w:val="24"/>
          <w:lang w:val="pl-PL"/>
        </w:rPr>
        <w:t>5.</w:t>
      </w:r>
      <w:r>
        <w:rPr>
          <w:rFonts w:ascii="Times New Roman"/>
          <w:b w:val="false"/>
          <w:i w:val="false"/>
          <w:color w:val="000000"/>
          <w:sz w:val="24"/>
          <w:lang w:val="pl-PL"/>
        </w:rPr>
        <w:t> Wezwania, o których mowa w ust. 4 pkt 2, sąd przesyła przewodniczącemu rady.</w:t>
      </w:r>
    </w:p>
    <w:p>
      <w:pPr>
        <w:spacing w:before="26" w:after="0"/>
        <w:ind w:left="0"/>
        <w:jc w:val="left"/>
        <w:textAlignment w:val="auto"/>
      </w:pPr>
      <w:r>
        <w:rPr>
          <w:rFonts w:ascii="Times New Roman"/>
          <w:b w:val="false"/>
          <w:i w:val="false"/>
          <w:color w:val="000000"/>
          <w:sz w:val="24"/>
          <w:lang w:val="pl-PL"/>
        </w:rPr>
        <w:t>5a.</w:t>
      </w:r>
      <w:r>
        <w:rPr>
          <w:rFonts w:ascii="Times New Roman"/>
          <w:b w:val="false"/>
          <w:i w:val="false"/>
          <w:color w:val="000000"/>
          <w:sz w:val="24"/>
          <w:lang w:val="pl-PL"/>
        </w:rPr>
        <w:t> Postanowienia, o których mowa w ust. 4 pkt 4, sąd lub prokurator przesyła przewodniczącemu rady.</w:t>
      </w:r>
    </w:p>
    <w:p>
      <w:pPr>
        <w:spacing w:before="26" w:after="0"/>
        <w:ind w:left="0"/>
        <w:jc w:val="left"/>
        <w:textAlignment w:val="auto"/>
      </w:pPr>
      <w:r>
        <w:rPr>
          <w:rFonts w:ascii="Times New Roman"/>
          <w:b w:val="false"/>
          <w:i w:val="false"/>
          <w:color w:val="000000"/>
          <w:sz w:val="24"/>
          <w:lang w:val="pl-PL"/>
        </w:rPr>
        <w:t>6.</w:t>
      </w:r>
      <w:r>
        <w:rPr>
          <w:rFonts w:ascii="Times New Roman"/>
          <w:b w:val="false"/>
          <w:i w:val="false"/>
          <w:color w:val="000000"/>
          <w:sz w:val="24"/>
          <w:lang w:val="pl-PL"/>
        </w:rPr>
        <w:t> Zastępca, pierwszy zastępca albo osoba, o której mowa w art. 28h, wykonuje zadania i kompetencje wójta:</w:t>
      </w:r>
    </w:p>
    <w:p>
      <w:pPr>
        <w:spacing w:before="26" w:after="0"/>
        <w:ind w:left="373"/>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xml:space="preserve"> od dnia zatrzymania do dnia zwolnienia - w przypadku okoliczności, o której mowa w ust. 1 pkt 1,</w:t>
      </w:r>
    </w:p>
    <w:p>
      <w:pPr>
        <w:spacing w:before="26" w:after="0"/>
        <w:ind w:left="373"/>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xml:space="preserve"> od dnia wskazanego w wezwaniu do stawienia się w zakładzie karnym do dnia zwolnienia - w przypadku okoliczności, o których mowa w ust. 1 pkt 2 i 3,</w:t>
      </w:r>
    </w:p>
    <w:p>
      <w:pPr>
        <w:spacing w:before="26" w:after="0"/>
        <w:ind w:left="373"/>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xml:space="preserve"> w okresie wskazanym w zaświadczeniu lekarskim - w przypadku okoliczności, o której mowa w ust. 1 pkt 4,</w:t>
      </w:r>
    </w:p>
    <w:p>
      <w:pPr>
        <w:spacing w:before="26" w:after="0"/>
        <w:ind w:left="373"/>
        <w:jc w:val="left"/>
        <w:textAlignment w:val="auto"/>
      </w:pPr>
      <w:r>
        <w:rPr>
          <w:rFonts w:ascii="Times New Roman"/>
          <w:b w:val="false"/>
          <w:i w:val="false"/>
          <w:color w:val="000000"/>
          <w:sz w:val="24"/>
          <w:lang w:val="pl-PL"/>
        </w:rPr>
        <w:t>4)</w:t>
      </w:r>
      <w:r>
        <w:rPr>
          <w:rFonts w:ascii="Times New Roman"/>
          <w:b w:val="false"/>
          <w:i w:val="false"/>
          <w:color w:val="000000"/>
          <w:sz w:val="24"/>
          <w:lang w:val="pl-PL"/>
        </w:rPr>
        <w:t xml:space="preserve"> w okresie zawieszenia w czynnościach służbowych - w przypadku okoliczności, o której mowa w ust. 1 pkt 5</w:t>
      </w:r>
    </w:p>
    <w:p>
      <w:pPr>
        <w:spacing w:before="25" w:after="0"/>
        <w:ind w:left="0"/>
        <w:jc w:val="left"/>
        <w:textAlignment w:val="auto"/>
      </w:pPr>
      <w:r>
        <w:rPr>
          <w:rFonts w:ascii="Times New Roman"/>
          <w:b w:val="false"/>
          <w:i w:val="false"/>
          <w:color w:val="000000"/>
          <w:sz w:val="24"/>
          <w:lang w:val="pl-PL"/>
        </w:rPr>
        <w:t>- (uchylona).</w:t>
      </w:r>
    </w:p>
    <w:p>
      <w:pPr>
        <w:spacing w:before="26" w:after="0"/>
        <w:ind w:left="0"/>
        <w:jc w:val="left"/>
        <w:textAlignment w:val="auto"/>
      </w:pPr>
      <w:r>
        <w:rPr>
          <w:rFonts w:ascii="Times New Roman"/>
          <w:b w:val="false"/>
          <w:i w:val="false"/>
          <w:color w:val="000000"/>
          <w:sz w:val="24"/>
          <w:lang w:val="pl-PL"/>
        </w:rPr>
        <w:t>7.</w:t>
      </w:r>
      <w:r>
        <w:rPr>
          <w:rFonts w:ascii="Times New Roman"/>
          <w:b w:val="false"/>
          <w:i w:val="false"/>
          <w:color w:val="000000"/>
          <w:sz w:val="24"/>
          <w:lang w:val="pl-PL"/>
        </w:rPr>
        <w:t> W terminie 48 godzin od powzięcia wiadomości o zaistnieniu jednej z okoliczności, o których mowa w ust. 1, przewodniczący rady pisemnie informuje wojewodę o zaistnieniu takiej okoliczności i:</w:t>
      </w:r>
    </w:p>
    <w:p>
      <w:pPr>
        <w:spacing w:before="26" w:after="0"/>
        <w:ind w:left="373"/>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xml:space="preserve"> przejęciu zadań i kompetencji wójta przez zastępcę albo pierwszego zastępcę albo</w:t>
      </w:r>
    </w:p>
    <w:p>
      <w:pPr>
        <w:spacing w:before="26" w:after="0"/>
        <w:ind w:left="373"/>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xml:space="preserve"> konieczności wyznaczenia osoby, o której mowa w art. 28h - w związku z przepisem ust. 2, albo</w:t>
      </w:r>
    </w:p>
    <w:p>
      <w:pPr>
        <w:spacing w:before="26" w:after="0"/>
        <w:ind w:left="373"/>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xml:space="preserve"> konieczności wyznaczenia osoby, o której mowa w art. 28h - w związku z przepisem ust. 3.</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28h.</w:t>
      </w:r>
      <w:r>
        <w:rPr>
          <w:rFonts w:ascii="Times New Roman"/>
          <w:b/>
          <w:i w:val="false"/>
          <w:color w:val="000000"/>
          <w:sz w:val="24"/>
          <w:lang w:val="pl-PL"/>
        </w:rPr>
        <w:t xml:space="preserve"> [Osoba przejmująca wykonywanie zadań i kompetencji wójta]</w:t>
      </w:r>
    </w:p>
    <w:p>
      <w:pPr>
        <w:spacing w:after="0"/>
        <w:ind w:left="0"/>
        <w:jc w:val="left"/>
        <w:textAlignment w:val="auto"/>
      </w:pPr>
      <w:r>
        <w:rPr>
          <w:rFonts w:ascii="Times New Roman"/>
          <w:b w:val="false"/>
          <w:i w:val="false"/>
          <w:color w:val="000000"/>
          <w:sz w:val="24"/>
          <w:lang w:val="pl-PL"/>
        </w:rPr>
        <w:t> W przypadkach, o których mowa w art. 28g ust. 2, 3 i 3a, Prezes Rady Ministrów, na wniosek wojewody przekazany niezwłocznie za pośrednictwem ministra właściwego do spraw administracji publicznej, wyznacza osobę, która przejmie wykonywanie zadań i kompetencji wójta.</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28i.</w:t>
      </w:r>
      <w:r>
        <w:rPr>
          <w:rFonts w:ascii="Times New Roman"/>
          <w:b/>
          <w:i w:val="false"/>
          <w:color w:val="000000"/>
          <w:sz w:val="24"/>
          <w:lang w:val="pl-PL"/>
        </w:rPr>
        <w:t xml:space="preserve"> [Odwołanie ze stanowiska zastępcy wójta]</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xml:space="preserve"> Zrzeczenie się funkcji wójta lub wystąpienie jednej z przyczyn skutkujących wygaśnięciem mandatu wójta, o których mowa w </w:t>
      </w:r>
      <w:r>
        <w:rPr>
          <w:rFonts w:ascii="Times New Roman"/>
          <w:b w:val="false"/>
          <w:i w:val="false"/>
          <w:color w:val="1b1b1b"/>
          <w:sz w:val="24"/>
          <w:lang w:val="pl-PL"/>
        </w:rPr>
        <w:t>art. 492 § 1 pkt 2</w:t>
      </w:r>
      <w:r>
        <w:rPr>
          <w:rFonts w:ascii="Times New Roman"/>
          <w:b w:val="false"/>
          <w:i w:val="false"/>
          <w:color w:val="000000"/>
          <w:sz w:val="24"/>
          <w:lang w:val="pl-PL"/>
        </w:rPr>
        <w:t xml:space="preserve">, </w:t>
      </w:r>
      <w:r>
        <w:rPr>
          <w:rFonts w:ascii="Times New Roman"/>
          <w:b w:val="false"/>
          <w:i w:val="false"/>
          <w:color w:val="1b1b1b"/>
          <w:sz w:val="24"/>
          <w:lang w:val="pl-PL"/>
        </w:rPr>
        <w:t>4-7</w:t>
      </w:r>
      <w:r>
        <w:rPr>
          <w:rFonts w:ascii="Times New Roman"/>
          <w:b w:val="false"/>
          <w:i w:val="false"/>
          <w:color w:val="000000"/>
          <w:sz w:val="24"/>
          <w:lang w:val="pl-PL"/>
        </w:rPr>
        <w:t xml:space="preserve"> i </w:t>
      </w:r>
      <w:r>
        <w:rPr>
          <w:rFonts w:ascii="Times New Roman"/>
          <w:b w:val="false"/>
          <w:i w:val="false"/>
          <w:color w:val="1b1b1b"/>
          <w:sz w:val="24"/>
          <w:lang w:val="pl-PL"/>
        </w:rPr>
        <w:t>10</w:t>
      </w:r>
      <w:r>
        <w:rPr>
          <w:rFonts w:ascii="Times New Roman"/>
          <w:b w:val="false"/>
          <w:i w:val="false"/>
          <w:color w:val="000000"/>
          <w:sz w:val="24"/>
          <w:lang w:val="pl-PL"/>
        </w:rPr>
        <w:t xml:space="preserve"> ustawy z dnia 5 stycznia 2011 r. - Kodeks wyborczy, w czasie pełnienia funkcji wójta albo wykonywania zadań i kompetencji wójta przez zastępcę wójta, jest równoznaczne z odwołaniem ze stanowiska zastępcy wójta.</w:t>
      </w: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Wojewoda stwierdza odwołanie ze stanowiska zastępcy wójta z przyczyn, o których mowa w ust. 1, w drodze zarządzenia.</w:t>
      </w:r>
    </w:p>
    <w:p>
      <w:pPr>
        <w:spacing w:before="26" w:after="0"/>
        <w:ind w:left="0"/>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Od zarządzenia wojewody, o którym mowa w ust. 2, przysługuje skarga do sądu administracyjnego w terminie 7 dni od dnia doręczenia zarządzenia. Skargę wnosi się za pośrednictwem wojewody.</w:t>
      </w:r>
    </w:p>
    <w:p>
      <w:pPr>
        <w:spacing w:before="26" w:after="0"/>
        <w:ind w:left="0"/>
        <w:jc w:val="left"/>
        <w:textAlignment w:val="auto"/>
      </w:pPr>
      <w:r>
        <w:rPr>
          <w:rFonts w:ascii="Times New Roman"/>
          <w:b w:val="false"/>
          <w:i w:val="false"/>
          <w:color w:val="000000"/>
          <w:sz w:val="24"/>
          <w:lang w:val="pl-PL"/>
        </w:rPr>
        <w:t>4.</w:t>
      </w:r>
      <w:r>
        <w:rPr>
          <w:rFonts w:ascii="Times New Roman"/>
          <w:b w:val="false"/>
          <w:i w:val="false"/>
          <w:color w:val="000000"/>
          <w:sz w:val="24"/>
          <w:lang w:val="pl-PL"/>
        </w:rPr>
        <w:t> Sąd administracyjny rozpatruje skargę, o której mowa w ust. 3, w terminie 14 dni od dnia jej wniesienia. Skargę kasacyjną wnosi się w terminie 14 dni. Naczelny Sąd Administracyjny rozpatruje skargę kasacyjną w terminie 30 dni.</w:t>
      </w:r>
    </w:p>
    <w:p>
      <w:pPr>
        <w:spacing w:before="26" w:after="0"/>
        <w:ind w:left="0"/>
        <w:jc w:val="left"/>
        <w:textAlignment w:val="auto"/>
      </w:pPr>
      <w:r>
        <w:rPr>
          <w:rFonts w:ascii="Times New Roman"/>
          <w:b w:val="false"/>
          <w:i w:val="false"/>
          <w:color w:val="000000"/>
          <w:sz w:val="24"/>
          <w:lang w:val="pl-PL"/>
        </w:rPr>
        <w:t>5.</w:t>
      </w:r>
      <w:r>
        <w:rPr>
          <w:rFonts w:ascii="Times New Roman"/>
          <w:b w:val="false"/>
          <w:i w:val="false"/>
          <w:color w:val="000000"/>
          <w:sz w:val="24"/>
          <w:lang w:val="pl-PL"/>
        </w:rPr>
        <w:t> Odwołanie ze stanowiska zastępcy wójta następuje z dniem uprawomocnienia się wyroku sądu administracyjnego oddalającego skargę, o której mowa w ust. 3, albo upływu terminu do jej wniesienia.</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29.</w:t>
      </w:r>
      <w:r>
        <w:rPr>
          <w:rFonts w:ascii="Times New Roman"/>
          <w:b/>
          <w:i w:val="false"/>
          <w:color w:val="000000"/>
          <w:sz w:val="24"/>
          <w:lang w:val="pl-PL"/>
        </w:rPr>
        <w:t xml:space="preserve"> [Pełnienie funkcji wójta i jego zastępcy po upływie kadencji]</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Po upływie kadencji wójta pełni on swoją funkcję do czasu objęcia obowiązków przez nowo wybranego wójta albo osobę, którą Prezes Rady Ministrów wyznaczył do pełnienia funkcji wójta.</w:t>
      </w: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Po upływie kadencji wójta, zastępca wójta pełni swoje obowiązki do czasu objęcia obowiązków przez nowo powołanego zastępcę wójta.</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29a.</w:t>
      </w:r>
      <w:r>
        <w:rPr>
          <w:rFonts w:ascii="Times New Roman"/>
          <w:b/>
          <w:i w:val="false"/>
          <w:color w:val="000000"/>
          <w:sz w:val="24"/>
          <w:lang w:val="pl-PL"/>
        </w:rPr>
        <w:t xml:space="preserve"> [Ślubowanie wójta]</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Objęcie obowiązków przez wójta następuje z chwilą złożenia wobec rady gminy ślubowania o następującej treści:</w:t>
      </w:r>
    </w:p>
    <w:p>
      <w:pPr>
        <w:spacing w:before="25" w:after="0"/>
        <w:ind w:left="0"/>
        <w:jc w:val="left"/>
        <w:textAlignment w:val="auto"/>
      </w:pPr>
      <w:r>
        <w:rPr>
          <w:rFonts w:ascii="Times New Roman"/>
          <w:b w:val="false"/>
          <w:i w:val="false"/>
          <w:color w:val="000000"/>
          <w:sz w:val="24"/>
          <w:lang w:val="pl-PL"/>
        </w:rPr>
        <w:t>"Obejmując urząd wójta (burmistrza, prezydenta) gminy (miasta), uroczyście ślubuję, że dochowam wierności prawu, a powierzony mi urząd sprawować będę tylko dla dobra publicznego i pomyślności mieszkańców gminy (miasta)." Ślubowanie może być złożone z dodaniem zdania: "Tak mi dopomóż Bóg.".</w:t>
      </w:r>
    </w:p>
    <w:p>
      <w:pPr>
        <w:spacing w:after="0"/>
        <w:ind w:left="0"/>
        <w:jc w:val="left"/>
        <w:textAlignment w:val="auto"/>
      </w:pP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Wójt składa ślubowanie podczas pierwszej sesji nowo wybranej rady zwołanej na podstawie art. 20 ust. 2, a w przypadku wyboru wójta:</w:t>
      </w:r>
    </w:p>
    <w:p>
      <w:pPr>
        <w:spacing w:before="26" w:after="0"/>
        <w:ind w:left="373"/>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xml:space="preserve"> w ponownym głosowaniu - podczas pierwszej sesji nowo wybranej rady zwołanej po dniu ogłoszenia obwieszczenia komisarza wyborczego o wynikach wyborów wójta w wojewódzkim dzienniku urzędowym,</w:t>
      </w:r>
    </w:p>
    <w:p>
      <w:pPr>
        <w:spacing w:before="26" w:after="0"/>
        <w:ind w:left="373"/>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xml:space="preserve"> w wyborach przedterminowych albo ponownych - podczas pierwszej sesji rady przypadającej po dniu ogłoszenia obwieszczenia komisarza wyborczego o wynikach wyborów wójta w wojewódzkim dzienniku urzędowym- nie później jednak niż w terminie 14 dni od dnia ogłoszenia wyników tych wyborów.</w:t>
      </w:r>
    </w:p>
    <w:p>
      <w:pPr>
        <w:spacing w:before="26" w:after="0"/>
        <w:ind w:left="0"/>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Jeżeli sesja zwołana w trybie określonym w ust. 2 nie odbyła się albo upłynął termin, o którym mowa w ust. 2, wójt składa ślubowanie o treści określonej w ust. 1 przed właściwym terytorialnie komisarzem wyborczym. Złożenie ślubowania wójt potwierdza podpisem pod treścią ślubowania. Akt ślubowania komisarz wyborczy przesyła niezwłocznie przewodniczącemu rady. Informację o dacie złożenia ślubowania komisarz wyborczy podaje do publicznej wiadomości mieszkańców gminy w formie komunikatu w Biuletynie Informacji Publicznej w terminie 14 dni od dnia złożenia ślubowania.</w:t>
      </w:r>
    </w:p>
    <w:p>
      <w:pPr>
        <w:spacing w:before="26" w:after="0"/>
        <w:ind w:left="0"/>
        <w:jc w:val="left"/>
        <w:textAlignment w:val="auto"/>
      </w:pPr>
      <w:r>
        <w:rPr>
          <w:rFonts w:ascii="Times New Roman"/>
          <w:b w:val="false"/>
          <w:i w:val="false"/>
          <w:color w:val="000000"/>
          <w:sz w:val="24"/>
          <w:lang w:val="pl-PL"/>
        </w:rPr>
        <w:t>4.</w:t>
      </w:r>
      <w:r>
        <w:rPr>
          <w:rFonts w:ascii="Times New Roman"/>
          <w:b w:val="false"/>
          <w:i w:val="false"/>
          <w:color w:val="000000"/>
          <w:sz w:val="24"/>
          <w:lang w:val="pl-PL"/>
        </w:rPr>
        <w:t> Uchylanie się od złożenia ślubowania w terminie 3 miesięcy od dnia ogłoszenia wyników wyborów wójta jest równoznaczne z odmową złożenia ślubowania.</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30.</w:t>
      </w:r>
      <w:r>
        <w:rPr>
          <w:rFonts w:ascii="Times New Roman"/>
          <w:b/>
          <w:i w:val="false"/>
          <w:color w:val="000000"/>
          <w:sz w:val="24"/>
          <w:lang w:val="pl-PL"/>
        </w:rPr>
        <w:t xml:space="preserve"> [Zadania wójta]</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Wójt wykonuje uchwały rady gminy i zadania gminy określone przepisami prawa.</w:t>
      </w: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Do zadań wójta należy w szczególności:</w:t>
      </w:r>
    </w:p>
    <w:p>
      <w:pPr>
        <w:spacing w:before="26" w:after="0"/>
        <w:ind w:left="373"/>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xml:space="preserve"> przygotowywanie projektów uchwał rady gminy;</w:t>
      </w:r>
    </w:p>
    <w:p>
      <w:pPr>
        <w:spacing w:before="26" w:after="0"/>
        <w:ind w:left="373"/>
        <w:jc w:val="left"/>
        <w:textAlignment w:val="auto"/>
      </w:pPr>
      <w:r>
        <w:rPr>
          <w:rFonts w:ascii="Times New Roman"/>
          <w:b w:val="false"/>
          <w:i w:val="false"/>
          <w:color w:val="000000"/>
          <w:sz w:val="24"/>
          <w:lang w:val="pl-PL"/>
        </w:rPr>
        <w:t>1a)</w:t>
      </w:r>
      <w:r>
        <w:rPr>
          <w:rFonts w:ascii="Times New Roman"/>
          <w:b w:val="false"/>
          <w:i w:val="false"/>
          <w:color w:val="000000"/>
          <w:sz w:val="24"/>
          <w:lang w:val="pl-PL"/>
        </w:rPr>
        <w:t xml:space="preserve"> opracowywanie programów rozwoju w trybie określonym w </w:t>
      </w:r>
      <w:r>
        <w:rPr>
          <w:rFonts w:ascii="Times New Roman"/>
          <w:b w:val="false"/>
          <w:i w:val="false"/>
          <w:color w:val="1b1b1b"/>
          <w:sz w:val="24"/>
          <w:lang w:val="pl-PL"/>
        </w:rPr>
        <w:t>przepisach</w:t>
      </w:r>
      <w:r>
        <w:rPr>
          <w:rFonts w:ascii="Times New Roman"/>
          <w:b w:val="false"/>
          <w:i w:val="false"/>
          <w:color w:val="000000"/>
          <w:sz w:val="24"/>
          <w:lang w:val="pl-PL"/>
        </w:rPr>
        <w:t xml:space="preserve"> o zasadach prowadzenia polityki rozwoju;</w:t>
      </w:r>
    </w:p>
    <w:p>
      <w:pPr>
        <w:spacing w:before="26" w:after="0"/>
        <w:ind w:left="373"/>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xml:space="preserve"> określanie sposobu wykonywania uchwał;</w:t>
      </w:r>
    </w:p>
    <w:p>
      <w:pPr>
        <w:spacing w:before="26" w:after="0"/>
        <w:ind w:left="373"/>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xml:space="preserve"> gospodarowanie mieniem komunalnym;</w:t>
      </w:r>
    </w:p>
    <w:p>
      <w:pPr>
        <w:spacing w:before="26" w:after="0"/>
        <w:ind w:left="373"/>
        <w:jc w:val="left"/>
        <w:textAlignment w:val="auto"/>
      </w:pPr>
      <w:r>
        <w:rPr>
          <w:rFonts w:ascii="Times New Roman"/>
          <w:b w:val="false"/>
          <w:i w:val="false"/>
          <w:color w:val="000000"/>
          <w:sz w:val="24"/>
          <w:lang w:val="pl-PL"/>
        </w:rPr>
        <w:t>4)</w:t>
      </w:r>
      <w:r>
        <w:rPr>
          <w:rFonts w:ascii="Times New Roman"/>
          <w:b w:val="false"/>
          <w:i w:val="false"/>
          <w:color w:val="000000"/>
          <w:sz w:val="24"/>
          <w:lang w:val="pl-PL"/>
        </w:rPr>
        <w:t xml:space="preserve"> wykonywanie budżetu;</w:t>
      </w:r>
    </w:p>
    <w:p>
      <w:pPr>
        <w:spacing w:before="26" w:after="0"/>
        <w:ind w:left="373"/>
        <w:jc w:val="left"/>
        <w:textAlignment w:val="auto"/>
      </w:pPr>
      <w:r>
        <w:rPr>
          <w:rFonts w:ascii="Times New Roman"/>
          <w:b w:val="false"/>
          <w:i w:val="false"/>
          <w:color w:val="000000"/>
          <w:sz w:val="24"/>
          <w:lang w:val="pl-PL"/>
        </w:rPr>
        <w:t>5)</w:t>
      </w:r>
      <w:r>
        <w:rPr>
          <w:rFonts w:ascii="Times New Roman"/>
          <w:b w:val="false"/>
          <w:i w:val="false"/>
          <w:color w:val="000000"/>
          <w:sz w:val="24"/>
          <w:lang w:val="pl-PL"/>
        </w:rPr>
        <w:t xml:space="preserve"> zatrudnianie i zwalnianie kierowników gminnych jednostek organizacyjnych;</w:t>
      </w:r>
    </w:p>
    <w:p>
      <w:pPr>
        <w:spacing w:before="26" w:after="0"/>
        <w:ind w:left="373"/>
        <w:jc w:val="left"/>
        <w:textAlignment w:val="auto"/>
      </w:pPr>
      <w:r>
        <w:rPr>
          <w:rFonts w:ascii="Times New Roman"/>
          <w:b w:val="false"/>
          <w:i w:val="false"/>
          <w:color w:val="000000"/>
          <w:sz w:val="24"/>
          <w:lang w:val="pl-PL"/>
        </w:rPr>
        <w:t>6)</w:t>
      </w:r>
      <w:r>
        <w:rPr>
          <w:rFonts w:ascii="Times New Roman"/>
          <w:b w:val="false"/>
          <w:i w:val="false"/>
          <w:color w:val="000000"/>
          <w:sz w:val="24"/>
          <w:lang w:val="pl-PL"/>
        </w:rPr>
        <w:t xml:space="preserve"> (uchylony).</w:t>
      </w:r>
    </w:p>
    <w:p>
      <w:pPr>
        <w:spacing w:before="26" w:after="0"/>
        <w:ind w:left="0"/>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W realizacji zadań własnych gminy wójt podlega wyłącznie radzie gminy.</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31.</w:t>
      </w:r>
      <w:r>
        <w:rPr>
          <w:rFonts w:ascii="Times New Roman"/>
          <w:b/>
          <w:i w:val="false"/>
          <w:color w:val="000000"/>
          <w:sz w:val="24"/>
          <w:lang w:val="pl-PL"/>
        </w:rPr>
        <w:t xml:space="preserve"> [Kierowanie bieżącymi sprawami oraz reprezentowanie gminy]</w:t>
      </w:r>
    </w:p>
    <w:p>
      <w:pPr>
        <w:spacing w:after="0"/>
        <w:ind w:left="0"/>
        <w:jc w:val="left"/>
        <w:textAlignment w:val="auto"/>
      </w:pPr>
      <w:r>
        <w:rPr>
          <w:rFonts w:ascii="Times New Roman"/>
          <w:b w:val="false"/>
          <w:i w:val="false"/>
          <w:color w:val="000000"/>
          <w:sz w:val="24"/>
          <w:lang w:val="pl-PL"/>
        </w:rPr>
        <w:t xml:space="preserve"> </w:t>
      </w:r>
      <w:r>
        <w:rPr>
          <w:rFonts w:ascii="Times New Roman"/>
          <w:b/>
          <w:i w:val="false"/>
          <w:color w:val="000000"/>
          <w:sz w:val="24"/>
          <w:lang w:val="pl-PL"/>
        </w:rPr>
        <w:t> </w:t>
      </w:r>
      <w:r>
        <w:rPr>
          <w:rFonts w:ascii="Times New Roman"/>
          <w:b w:val="false"/>
          <w:i w:val="false"/>
          <w:color w:val="000000"/>
          <w:sz w:val="24"/>
          <w:lang w:val="pl-PL"/>
        </w:rPr>
        <w:t>Wójt kieruje bieżącymi sprawami gminy oraz reprezentuje ją na zewnątrz.</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31a.</w:t>
      </w:r>
      <w:r>
        <w:rPr>
          <w:rFonts w:ascii="Times New Roman"/>
          <w:b/>
          <w:i w:val="false"/>
          <w:color w:val="000000"/>
          <w:sz w:val="24"/>
          <w:lang w:val="pl-PL"/>
        </w:rPr>
        <w:t xml:space="preserve"> [Zadania wójta w zakresie ochrony przeciwpowodziowej]</w:t>
      </w:r>
    </w:p>
    <w:p>
      <w:pPr>
        <w:spacing w:after="0"/>
        <w:ind w:left="0"/>
        <w:jc w:val="left"/>
        <w:textAlignment w:val="auto"/>
      </w:pPr>
      <w:r>
        <w:rPr>
          <w:rFonts w:ascii="Times New Roman"/>
          <w:b w:val="false"/>
          <w:i w:val="false"/>
          <w:color w:val="000000"/>
          <w:sz w:val="24"/>
          <w:lang w:val="pl-PL"/>
        </w:rPr>
        <w:t> Wójt opracowuje plan operacyjny ochrony przed powodzią oraz ogłasza i odwołuje pogotowie i alarm przeciwpowodziowy.</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31aa.</w:t>
      </w:r>
    </w:p>
    <w:p>
      <w:pPr>
        <w:spacing w:after="0"/>
        <w:ind w:left="0"/>
        <w:jc w:val="left"/>
        <w:textAlignment w:val="auto"/>
      </w:pPr>
      <w:r>
        <w:rPr>
          <w:rFonts w:ascii="Times New Roman"/>
          <w:b w:val="false"/>
          <w:i w:val="false"/>
          <w:color w:val="000000"/>
          <w:sz w:val="24"/>
          <w:lang w:val="pl-PL"/>
        </w:rPr>
        <w:t xml:space="preserve"> </w:t>
      </w:r>
      <w:r>
        <w:rPr>
          <w:rFonts w:ascii="Times New Roman"/>
          <w:b/>
          <w:i w:val="false"/>
          <w:color w:val="000000"/>
          <w:sz w:val="24"/>
          <w:lang w:val="pl-PL"/>
        </w:rPr>
        <w:t> </w:t>
      </w:r>
      <w:r>
        <w:rPr>
          <w:rFonts w:ascii="Times New Roman"/>
          <w:b w:val="false"/>
          <w:i w:val="false"/>
          <w:color w:val="000000"/>
          <w:sz w:val="24"/>
          <w:lang w:val="pl-PL"/>
        </w:rPr>
        <w:t xml:space="preserve">Wójt wykonuje zadania organu ochrony ludności i obrony cywilnej określone w </w:t>
      </w:r>
      <w:r>
        <w:rPr>
          <w:rFonts w:ascii="Times New Roman"/>
          <w:b w:val="false"/>
          <w:i w:val="false"/>
          <w:color w:val="1b1b1b"/>
          <w:sz w:val="24"/>
          <w:lang w:val="pl-PL"/>
        </w:rPr>
        <w:t>ustawie</w:t>
      </w:r>
      <w:r>
        <w:rPr>
          <w:rFonts w:ascii="Times New Roman"/>
          <w:b w:val="false"/>
          <w:i w:val="false"/>
          <w:color w:val="000000"/>
          <w:sz w:val="24"/>
          <w:lang w:val="pl-PL"/>
        </w:rPr>
        <w:t xml:space="preserve"> z dnia 5 grudnia 2024 r. o ochronie ludności i obronie cywilnej.</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31b.</w:t>
      </w:r>
      <w:r>
        <w:rPr>
          <w:rFonts w:ascii="Times New Roman"/>
          <w:b/>
          <w:i w:val="false"/>
          <w:color w:val="000000"/>
          <w:sz w:val="24"/>
          <w:lang w:val="pl-PL"/>
        </w:rPr>
        <w:t xml:space="preserve"> [Zarządzenie ewakuacji z obszarów bezpośrednio zagrożonych]</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Jeżeli w inny sposób nie można usunąć bezpośredniego niebezpieczeństwa dla życia ludzi lub dla mienia, wójt może zarządzić ewakuację z obszarów bezpośrednio zagrożonych.</w:t>
      </w: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xml:space="preserve"> W przypadku wprowadzenia stanu klęski żywiołowej wójt działa na zasadach określonych w odrębnych </w:t>
      </w:r>
      <w:r>
        <w:rPr>
          <w:rFonts w:ascii="Times New Roman"/>
          <w:b w:val="false"/>
          <w:i w:val="false"/>
          <w:color w:val="1b1b1b"/>
          <w:sz w:val="24"/>
          <w:lang w:val="pl-PL"/>
        </w:rPr>
        <w:t>przepisach</w:t>
      </w:r>
      <w:r>
        <w:rPr>
          <w:rFonts w:ascii="Times New Roman"/>
          <w:b w:val="false"/>
          <w:i w:val="false"/>
          <w:color w:val="000000"/>
          <w:sz w:val="24"/>
          <w:lang w:val="pl-PL"/>
        </w:rPr>
        <w:t>.</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32.</w:t>
      </w:r>
    </w:p>
    <w:p>
      <w:pPr>
        <w:spacing w:after="0"/>
        <w:ind w:left="0"/>
        <w:jc w:val="left"/>
        <w:textAlignment w:val="auto"/>
      </w:pPr>
      <w:r>
        <w:rPr>
          <w:rFonts w:ascii="Times New Roman"/>
          <w:b w:val="false"/>
          <w:i w:val="false"/>
          <w:color w:val="000000"/>
          <w:sz w:val="24"/>
          <w:lang w:val="pl-PL"/>
        </w:rPr>
        <w:t> (uchylony).</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33.</w:t>
      </w:r>
      <w:r>
        <w:rPr>
          <w:rFonts w:ascii="Times New Roman"/>
          <w:b/>
          <w:i w:val="false"/>
          <w:color w:val="000000"/>
          <w:sz w:val="24"/>
          <w:lang w:val="pl-PL"/>
        </w:rPr>
        <w:t xml:space="preserve"> [Urząd gminy. Regulamin organizacyjny. Kierownik urzędu]</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Wójt wykonuje zadania przy pomocy urzędu gminy.</w:t>
      </w: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Organizację i zasady funkcjonowania urzędu gminy określa regulamin organizacyjny, nadany przez wójta w drodze zarządzenia.</w:t>
      </w:r>
    </w:p>
    <w:p>
      <w:pPr>
        <w:spacing w:before="26" w:after="0"/>
        <w:ind w:left="0"/>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Kierownikiem urzędu jest wójt.</w:t>
      </w:r>
    </w:p>
    <w:p>
      <w:pPr>
        <w:spacing w:before="26" w:after="0"/>
        <w:ind w:left="0"/>
        <w:jc w:val="left"/>
        <w:textAlignment w:val="auto"/>
      </w:pPr>
      <w:r>
        <w:rPr>
          <w:rFonts w:ascii="Times New Roman"/>
          <w:b w:val="false"/>
          <w:i w:val="false"/>
          <w:color w:val="000000"/>
          <w:sz w:val="24"/>
          <w:lang w:val="pl-PL"/>
        </w:rPr>
        <w:t>4.</w:t>
      </w:r>
      <w:r>
        <w:rPr>
          <w:rFonts w:ascii="Times New Roman"/>
          <w:b w:val="false"/>
          <w:i w:val="false"/>
          <w:color w:val="000000"/>
          <w:sz w:val="24"/>
          <w:lang w:val="pl-PL"/>
        </w:rPr>
        <w:t> Wójt może powierzyć prowadzenie określonych spraw gminy w swoim imieniu zastępcy wójta lub sekretarzowi gminy.</w:t>
      </w:r>
    </w:p>
    <w:p>
      <w:pPr>
        <w:spacing w:before="26" w:after="0"/>
        <w:ind w:left="0"/>
        <w:jc w:val="left"/>
        <w:textAlignment w:val="auto"/>
      </w:pPr>
      <w:r>
        <w:rPr>
          <w:rFonts w:ascii="Times New Roman"/>
          <w:b w:val="false"/>
          <w:i w:val="false"/>
          <w:color w:val="000000"/>
          <w:sz w:val="24"/>
          <w:lang w:val="pl-PL"/>
        </w:rPr>
        <w:t>5.</w:t>
      </w:r>
      <w:r>
        <w:rPr>
          <w:rFonts w:ascii="Times New Roman"/>
          <w:b w:val="false"/>
          <w:i w:val="false"/>
          <w:color w:val="000000"/>
          <w:sz w:val="24"/>
          <w:lang w:val="pl-PL"/>
        </w:rPr>
        <w:t> Kierownik urzędu wykonuje uprawnienia zwierzchnika służbowego w stosunku do pracowników urzędu oraz kierowników gminnych jednostek organizacyjnych.</w:t>
      </w:r>
    </w:p>
    <w:p>
      <w:pPr>
        <w:spacing w:before="26" w:after="0"/>
        <w:ind w:left="0"/>
        <w:jc w:val="left"/>
        <w:textAlignment w:val="auto"/>
      </w:pPr>
      <w:r>
        <w:rPr>
          <w:rFonts w:ascii="Times New Roman"/>
          <w:b w:val="false"/>
          <w:i w:val="false"/>
          <w:color w:val="000000"/>
          <w:sz w:val="24"/>
          <w:lang w:val="pl-PL"/>
        </w:rPr>
        <w:t>6.</w:t>
      </w:r>
      <w:r>
        <w:rPr>
          <w:rFonts w:ascii="Times New Roman"/>
          <w:b w:val="false"/>
          <w:i w:val="false"/>
          <w:color w:val="000000"/>
          <w:sz w:val="24"/>
          <w:lang w:val="pl-PL"/>
        </w:rPr>
        <w:t xml:space="preserve"> Status prawny pracowników samorządowych określa odrębna </w:t>
      </w:r>
      <w:r>
        <w:rPr>
          <w:rFonts w:ascii="Times New Roman"/>
          <w:b w:val="false"/>
          <w:i w:val="false"/>
          <w:color w:val="1b1b1b"/>
          <w:sz w:val="24"/>
          <w:lang w:val="pl-PL"/>
        </w:rPr>
        <w:t>ustawa</w:t>
      </w:r>
      <w:r>
        <w:rPr>
          <w:rFonts w:ascii="Times New Roman"/>
          <w:b w:val="false"/>
          <w:i w:val="false"/>
          <w:color w:val="000000"/>
          <w:sz w:val="24"/>
          <w:lang w:val="pl-PL"/>
        </w:rPr>
        <w:t>.</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34.</w:t>
      </w:r>
    </w:p>
    <w:p>
      <w:pPr>
        <w:spacing w:after="0"/>
        <w:ind w:left="0"/>
        <w:jc w:val="left"/>
        <w:textAlignment w:val="auto"/>
      </w:pPr>
      <w:r>
        <w:rPr>
          <w:rFonts w:ascii="Times New Roman"/>
          <w:b w:val="false"/>
          <w:i w:val="false"/>
          <w:color w:val="000000"/>
          <w:sz w:val="24"/>
          <w:lang w:val="pl-PL"/>
        </w:rPr>
        <w:t xml:space="preserve"> </w:t>
      </w:r>
      <w:r>
        <w:rPr>
          <w:rFonts w:ascii="Times New Roman"/>
          <w:b/>
          <w:i w:val="false"/>
          <w:color w:val="000000"/>
          <w:sz w:val="24"/>
          <w:lang w:val="pl-PL"/>
        </w:rPr>
        <w:t> </w:t>
      </w:r>
      <w:r>
        <w:rPr>
          <w:rFonts w:ascii="Times New Roman"/>
          <w:b w:val="false"/>
          <w:i w:val="false"/>
          <w:color w:val="000000"/>
          <w:sz w:val="24"/>
          <w:lang w:val="pl-PL"/>
        </w:rPr>
        <w:t>(uchylony).</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35.</w:t>
      </w:r>
      <w:r>
        <w:rPr>
          <w:rFonts w:ascii="Times New Roman"/>
          <w:b/>
          <w:i w:val="false"/>
          <w:color w:val="000000"/>
          <w:sz w:val="24"/>
          <w:lang w:val="pl-PL"/>
        </w:rPr>
        <w:t xml:space="preserve"> [Jednostka pomocnicza gminy i jej statut]</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Organizację i zakres działania jednostki pomocniczej określa rada gminy odrębnym statutem, po przeprowadzeniu konsultacji z mieszkańcami.</w:t>
      </w: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Statut może przewidywać powołanie jednostki niższego rzędu w ramach jednostki pomocniczej.</w:t>
      </w:r>
    </w:p>
    <w:p>
      <w:pPr>
        <w:spacing w:before="26" w:after="0"/>
        <w:ind w:left="0"/>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Statut jednostki pomocniczej określa w szczególności:</w:t>
      </w:r>
    </w:p>
    <w:p>
      <w:pPr>
        <w:spacing w:before="26" w:after="0"/>
        <w:ind w:left="373"/>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xml:space="preserve"> nazwę i obszar jednostki pomocniczej;</w:t>
      </w:r>
    </w:p>
    <w:p>
      <w:pPr>
        <w:spacing w:before="26" w:after="0"/>
        <w:ind w:left="373"/>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xml:space="preserve"> zasady i tryb wyborów organów jednostki pomocniczej;</w:t>
      </w:r>
    </w:p>
    <w:p>
      <w:pPr>
        <w:spacing w:before="26" w:after="0"/>
        <w:ind w:left="373"/>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xml:space="preserve"> organizację i zadania organów jednostki pomocniczej;</w:t>
      </w:r>
    </w:p>
    <w:p>
      <w:pPr>
        <w:spacing w:before="26" w:after="0"/>
        <w:ind w:left="373"/>
        <w:jc w:val="left"/>
        <w:textAlignment w:val="auto"/>
      </w:pPr>
      <w:r>
        <w:rPr>
          <w:rFonts w:ascii="Times New Roman"/>
          <w:b w:val="false"/>
          <w:i w:val="false"/>
          <w:color w:val="000000"/>
          <w:sz w:val="24"/>
          <w:lang w:val="pl-PL"/>
        </w:rPr>
        <w:t>4)</w:t>
      </w:r>
      <w:r>
        <w:rPr>
          <w:rFonts w:ascii="Times New Roman"/>
          <w:b w:val="false"/>
          <w:i w:val="false"/>
          <w:color w:val="000000"/>
          <w:sz w:val="24"/>
          <w:lang w:val="pl-PL"/>
        </w:rPr>
        <w:t xml:space="preserve"> zakres zadań przekazywanych jednostce przez gminę oraz sposób ich realizacji;</w:t>
      </w:r>
    </w:p>
    <w:p>
      <w:pPr>
        <w:spacing w:before="26" w:after="0"/>
        <w:ind w:left="373"/>
        <w:jc w:val="left"/>
        <w:textAlignment w:val="auto"/>
      </w:pPr>
      <w:r>
        <w:rPr>
          <w:rFonts w:ascii="Times New Roman"/>
          <w:b w:val="false"/>
          <w:i w:val="false"/>
          <w:color w:val="000000"/>
          <w:sz w:val="24"/>
          <w:lang w:val="pl-PL"/>
        </w:rPr>
        <w:t>5)</w:t>
      </w:r>
      <w:r>
        <w:rPr>
          <w:rFonts w:ascii="Times New Roman"/>
          <w:b w:val="false"/>
          <w:i w:val="false"/>
          <w:color w:val="000000"/>
          <w:sz w:val="24"/>
          <w:lang w:val="pl-PL"/>
        </w:rPr>
        <w:t xml:space="preserve"> zakres i formy kontroli oraz nadzoru organów gminy nad działalnością organów jednostki pomocniczej.</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35a.</w:t>
      </w:r>
      <w:r>
        <w:rPr>
          <w:rFonts w:ascii="Times New Roman"/>
          <w:b/>
          <w:i w:val="false"/>
          <w:color w:val="000000"/>
          <w:sz w:val="24"/>
          <w:lang w:val="pl-PL"/>
        </w:rPr>
        <w:t xml:space="preserve"> [Zakaz zarządzania wyborów do organów jednostek pomocniczych gminy oraz wyborów do organów jednostek niższego rzędu na dzień, na który zostały zarządzone inne wybory]</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Wyborów do organów jednostek pomocniczych gminy oraz wyborów do organów jednostek niższego rzędu nie zarządza się na dzień, na który zarządzone zostały wybory do Sejmu Rzeczypospolitej Polskiej i do Senatu Rzeczypospolitej Polskiej, wybory Prezydenta Rzeczypospolitej Polskiej, wybory do Parlamentu Europejskiego w Rzeczypospolitej Polskiej, wybory do organów stanowiących jednostek samorządu terytorialnego lub wybory wójtów.</w:t>
      </w: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Przepis ust. 1 nie dotyczy wyborów do rad dzielnic m.st. Warszawy.</w:t>
      </w:r>
    </w:p>
    <w:p>
      <w:pPr>
        <w:spacing w:before="26" w:after="0"/>
        <w:ind w:left="0"/>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xml:space="preserve"> Przepis ust. 1 nie dotyczy zarządzenia wyborów do organów jednostek pomocniczych gminy lub wyborów do organów jednostek niższego rzędu na dzień, na który zarządzone zostały wybory uzupełniające do Senatu, przedterminowe, uzupełniające lub ponowne wybory do organów stanowiących jednostek samorządu terytorialnego lub wybory do nowego organu stanowiącego jednostki samorządu terytorialnego, a także przedterminowe lub ponowne wybory wójta. </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36.</w:t>
      </w:r>
      <w:r>
        <w:rPr>
          <w:rFonts w:ascii="Times New Roman"/>
          <w:b/>
          <w:i w:val="false"/>
          <w:color w:val="000000"/>
          <w:sz w:val="24"/>
          <w:lang w:val="pl-PL"/>
        </w:rPr>
        <w:t xml:space="preserve"> [Sołectwo. Zebranie wiejskie i sołtys]</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Organem uchwałodawczym w sołectwie jest zebranie wiejskie, a wykonawczym - sołtys. Działalność sołtysa wspomaga rada sołecka.</w:t>
      </w: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Sołtys oraz członkowie rady sołeckiej wybierani są w głosowaniu tajnym, bezpośrednim, spośród nieograniczonej liczby kandydatów, przez stałych mieszkańców sołectwa uprawnionych do głosowania.</w:t>
      </w:r>
    </w:p>
    <w:p>
      <w:pPr>
        <w:spacing w:before="26" w:after="0"/>
        <w:ind w:left="0"/>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Sołtys korzysta z ochrony prawnej przysługującej funkcjonariuszom publicznym.</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37.</w:t>
      </w:r>
      <w:r>
        <w:rPr>
          <w:rFonts w:ascii="Times New Roman"/>
          <w:b/>
          <w:i w:val="false"/>
          <w:color w:val="000000"/>
          <w:sz w:val="24"/>
          <w:lang w:val="pl-PL"/>
        </w:rPr>
        <w:t xml:space="preserve"> [Dzielnica. Rada i zarząd]</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Organem uchwałodawczym w dzielnicy (osiedlu) jest rada o liczbie członków ustalonej według art. 17, nie więcej jednak niż 21.</w:t>
      </w: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Organem wykonawczym w dzielnicy (osiedlu) jest zarząd. Na czele zarządu stoi przewodniczący.</w:t>
      </w:r>
    </w:p>
    <w:p>
      <w:pPr>
        <w:spacing w:before="26" w:after="0"/>
        <w:ind w:left="0"/>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Przewodniczący zarządu korzysta z ochrony prawnej przysługującej funkcjonariuszom publicznym.</w:t>
      </w:r>
    </w:p>
    <w:p>
      <w:pPr>
        <w:spacing w:before="26" w:after="0"/>
        <w:ind w:left="0"/>
        <w:jc w:val="left"/>
        <w:textAlignment w:val="auto"/>
      </w:pPr>
      <w:r>
        <w:rPr>
          <w:rFonts w:ascii="Times New Roman"/>
          <w:b w:val="false"/>
          <w:i w:val="false"/>
          <w:color w:val="000000"/>
          <w:sz w:val="24"/>
          <w:lang w:val="pl-PL"/>
        </w:rPr>
        <w:t>4.</w:t>
      </w:r>
      <w:r>
        <w:rPr>
          <w:rFonts w:ascii="Times New Roman"/>
          <w:b w:val="false"/>
          <w:i w:val="false"/>
          <w:color w:val="000000"/>
          <w:sz w:val="24"/>
          <w:lang w:val="pl-PL"/>
        </w:rPr>
        <w:t> Statut osiedla może ustalić, że w osiedlu organem uchwałodawczym jest ogólne zebranie mieszkańców. Ogólne zebranie wybiera zarząd osiedla; art. 36 ust. 2 stosuje się odpowiednio.</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37a.</w:t>
      </w:r>
      <w:r>
        <w:rPr>
          <w:rFonts w:ascii="Times New Roman"/>
          <w:b/>
          <w:i w:val="false"/>
          <w:color w:val="000000"/>
          <w:sz w:val="24"/>
          <w:lang w:val="pl-PL"/>
        </w:rPr>
        <w:t xml:space="preserve"> [Prawa i obowiązki przewodniczący organu wykonawczego jednostki pomocniczej]</w:t>
      </w:r>
    </w:p>
    <w:p>
      <w:pPr>
        <w:spacing w:after="0"/>
        <w:ind w:left="0"/>
        <w:jc w:val="left"/>
        <w:textAlignment w:val="auto"/>
      </w:pPr>
      <w:r>
        <w:rPr>
          <w:rFonts w:ascii="Times New Roman"/>
          <w:b w:val="false"/>
          <w:i w:val="false"/>
          <w:color w:val="000000"/>
          <w:sz w:val="24"/>
          <w:lang w:val="pl-PL"/>
        </w:rPr>
        <w:t> Przewodniczący organu wykonawczego jednostki pomocniczej może uczestniczyć w pracach rady gminy na zasadach określonych w statucie gminy, bez prawa udziału w głosowaniu. Przewodniczący rady gminy jest każdorazowo zobowiązany do zawiadamiania, na takich samych zasadach jak radnych, przewodniczącego organu wykonawczego jednostki pomocniczej o sesji rady gminy.</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37b.</w:t>
      </w:r>
      <w:r>
        <w:rPr>
          <w:rFonts w:ascii="Times New Roman"/>
          <w:b/>
          <w:i w:val="false"/>
          <w:color w:val="000000"/>
          <w:sz w:val="24"/>
          <w:lang w:val="pl-PL"/>
        </w:rPr>
        <w:t xml:space="preserve"> [Dieta oraz zwrot kosztów podróży służbowej dla przewodniczącego organu wykonawczego jednostki pomocniczej]</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Rada gminy może ustanowić zasady, na jakich przewodniczącemu organu wykonawczego jednostki pomocniczej będzie przysługiwała dieta oraz zwrot kosztów podróży służbowej.</w:t>
      </w: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Rada gminy może ustanowić zasady, na jakich członkom organu wykonawczego jednostki pomocniczej oraz członkom rady dzielnicy (osiedla), rady sołeckiej, będzie przysługiwała dieta lub zwrot kosztów podróży służbowej.</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38.</w:t>
      </w:r>
      <w:r>
        <w:rPr>
          <w:rFonts w:ascii="Times New Roman"/>
          <w:b/>
          <w:i w:val="false"/>
          <w:color w:val="000000"/>
          <w:sz w:val="24"/>
          <w:lang w:val="pl-PL"/>
        </w:rPr>
        <w:t xml:space="preserve"> [Odrębności ustrojowe gmin]</w:t>
      </w:r>
    </w:p>
    <w:p>
      <w:pPr>
        <w:spacing w:after="0"/>
        <w:ind w:left="0"/>
        <w:jc w:val="left"/>
        <w:textAlignment w:val="auto"/>
      </w:pPr>
      <w:r>
        <w:rPr>
          <w:rFonts w:ascii="Times New Roman"/>
          <w:b w:val="false"/>
          <w:i w:val="false"/>
          <w:color w:val="000000"/>
          <w:sz w:val="24"/>
          <w:lang w:val="pl-PL"/>
        </w:rPr>
        <w:t xml:space="preserve"> </w:t>
      </w:r>
      <w:r>
        <w:rPr>
          <w:rFonts w:ascii="Times New Roman"/>
          <w:b/>
          <w:i w:val="false"/>
          <w:color w:val="000000"/>
          <w:sz w:val="24"/>
          <w:lang w:val="pl-PL"/>
        </w:rPr>
        <w:t> </w:t>
      </w:r>
      <w:r>
        <w:rPr>
          <w:rFonts w:ascii="Times New Roman"/>
          <w:b w:val="false"/>
          <w:i w:val="false"/>
          <w:color w:val="000000"/>
          <w:sz w:val="24"/>
          <w:lang w:val="pl-PL"/>
        </w:rPr>
        <w:t xml:space="preserve">Odrębności ustroju gmin, które wykonują zadania o szczególnym charakterze, określają właściwe </w:t>
      </w:r>
      <w:r>
        <w:rPr>
          <w:rFonts w:ascii="Times New Roman"/>
          <w:b w:val="false"/>
          <w:i w:val="false"/>
          <w:color w:val="1b1b1b"/>
          <w:sz w:val="24"/>
          <w:lang w:val="pl-PL"/>
        </w:rPr>
        <w:t>ustawy</w:t>
      </w:r>
      <w:r>
        <w:rPr>
          <w:rFonts w:ascii="Times New Roman"/>
          <w:b w:val="false"/>
          <w:i w:val="false"/>
          <w:color w:val="000000"/>
          <w:sz w:val="24"/>
          <w:lang w:val="pl-PL"/>
        </w:rPr>
        <w:t>. Dotyczy to w szczególności gmin uzdrowiskowych.</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39.</w:t>
      </w:r>
      <w:r>
        <w:rPr>
          <w:rFonts w:ascii="Times New Roman"/>
          <w:b/>
          <w:i w:val="false"/>
          <w:color w:val="000000"/>
          <w:sz w:val="24"/>
          <w:lang w:val="pl-PL"/>
        </w:rPr>
        <w:t xml:space="preserve"> [Upoważnienie do wydawania decyzji administracyjnych]</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xml:space="preserve"> Decyzje w indywidualnych sprawach z zakresu administracji publicznej wydaje wójt, o ile </w:t>
      </w:r>
      <w:r>
        <w:rPr>
          <w:rFonts w:ascii="Times New Roman"/>
          <w:b w:val="false"/>
          <w:i w:val="false"/>
          <w:color w:val="1b1b1b"/>
          <w:sz w:val="24"/>
          <w:lang w:val="pl-PL"/>
        </w:rPr>
        <w:t>przepisy</w:t>
      </w:r>
      <w:r>
        <w:rPr>
          <w:rFonts w:ascii="Times New Roman"/>
          <w:b w:val="false"/>
          <w:i w:val="false"/>
          <w:color w:val="000000"/>
          <w:sz w:val="24"/>
          <w:lang w:val="pl-PL"/>
        </w:rPr>
        <w:t xml:space="preserve"> szczególne nie stanowią inaczej.</w:t>
      </w: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Wójt może upoważnić swoich zastępców lub innych pracowników urzędu gminy do wydawania decyzji administracyjnych, o których mowa w ust. 1, w imieniu wójta.</w:t>
      </w:r>
    </w:p>
    <w:p>
      <w:pPr>
        <w:spacing w:before="26" w:after="0"/>
        <w:ind w:left="0"/>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(uchylony).</w:t>
      </w:r>
    </w:p>
    <w:p>
      <w:pPr>
        <w:spacing w:before="26" w:after="0"/>
        <w:ind w:left="0"/>
        <w:jc w:val="left"/>
        <w:textAlignment w:val="auto"/>
      </w:pPr>
      <w:r>
        <w:rPr>
          <w:rFonts w:ascii="Times New Roman"/>
          <w:b w:val="false"/>
          <w:i w:val="false"/>
          <w:color w:val="000000"/>
          <w:sz w:val="24"/>
          <w:lang w:val="pl-PL"/>
        </w:rPr>
        <w:t>4.</w:t>
      </w:r>
      <w:r>
        <w:rPr>
          <w:rFonts w:ascii="Times New Roman"/>
          <w:b w:val="false"/>
          <w:i w:val="false"/>
          <w:color w:val="000000"/>
          <w:sz w:val="24"/>
          <w:lang w:val="pl-PL"/>
        </w:rPr>
        <w:t> Do załatwiania indywidualnych spraw z zakresu administracji publicznej rada gminy może upoważnić również organ wykonawczy jednostki pomocniczej oraz organy jednostek i podmiotów, o których mowa w art. 9 ust. 1.</w:t>
      </w:r>
    </w:p>
    <w:p>
      <w:pPr>
        <w:spacing w:before="26" w:after="0"/>
        <w:ind w:left="0"/>
        <w:jc w:val="left"/>
        <w:textAlignment w:val="auto"/>
      </w:pPr>
      <w:r>
        <w:rPr>
          <w:rFonts w:ascii="Times New Roman"/>
          <w:b w:val="false"/>
          <w:i w:val="false"/>
          <w:color w:val="000000"/>
          <w:sz w:val="24"/>
          <w:lang w:val="pl-PL"/>
        </w:rPr>
        <w:t>5.</w:t>
      </w:r>
      <w:r>
        <w:rPr>
          <w:rFonts w:ascii="Times New Roman"/>
          <w:b w:val="false"/>
          <w:i w:val="false"/>
          <w:color w:val="000000"/>
          <w:sz w:val="24"/>
          <w:lang w:val="pl-PL"/>
        </w:rPr>
        <w:t xml:space="preserve"> Od decyzji wydanej przez wójta lub organ, o którym mowa w ust. 4, służy odwołanie do samorządowego kolegium odwoławczego, chyba że </w:t>
      </w:r>
      <w:r>
        <w:rPr>
          <w:rFonts w:ascii="Times New Roman"/>
          <w:b w:val="false"/>
          <w:i w:val="false"/>
          <w:color w:val="1b1b1b"/>
          <w:sz w:val="24"/>
          <w:lang w:val="pl-PL"/>
        </w:rPr>
        <w:t>przepis</w:t>
      </w:r>
      <w:r>
        <w:rPr>
          <w:rFonts w:ascii="Times New Roman"/>
          <w:b w:val="false"/>
          <w:i w:val="false"/>
          <w:color w:val="000000"/>
          <w:sz w:val="24"/>
          <w:lang w:val="pl-PL"/>
        </w:rPr>
        <w:t xml:space="preserve"> szczególny stanowi inaczej.</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39a.</w:t>
      </w:r>
    </w:p>
    <w:p>
      <w:pPr>
        <w:spacing w:after="0"/>
        <w:ind w:left="0"/>
        <w:jc w:val="left"/>
        <w:textAlignment w:val="auto"/>
      </w:pPr>
      <w:r>
        <w:rPr>
          <w:rFonts w:ascii="Times New Roman"/>
          <w:b w:val="false"/>
          <w:i w:val="false"/>
          <w:color w:val="000000"/>
          <w:sz w:val="24"/>
          <w:lang w:val="pl-PL"/>
        </w:rPr>
        <w:t> (uchylony).</w:t>
      </w:r>
    </w:p>
    <w:p>
      <w:pPr>
        <w:spacing w:after="0"/>
        <w:ind w:left="0"/>
        <w:jc w:val="left"/>
        <w:textAlignment w:val="auto"/>
      </w:pPr>
    </w:p>
    <w:p>
      <w:pPr>
        <w:spacing w:before="89" w:after="0"/>
        <w:ind w:left="0"/>
        <w:jc w:val="center"/>
        <w:textAlignment w:val="auto"/>
      </w:pPr>
      <w:r>
        <w:rPr>
          <w:rFonts w:ascii="Times New Roman"/>
          <w:b/>
          <w:i w:val="false"/>
          <w:color w:val="000000"/>
          <w:sz w:val="24"/>
          <w:lang w:val="pl-PL"/>
        </w:rPr>
        <w:t>Rozdział  4</w:t>
      </w:r>
    </w:p>
    <w:p>
      <w:pPr>
        <w:spacing w:before="25" w:after="0"/>
        <w:ind w:left="0"/>
        <w:jc w:val="center"/>
        <w:textAlignment w:val="auto"/>
      </w:pPr>
      <w:r>
        <w:rPr>
          <w:rFonts w:ascii="Times New Roman"/>
          <w:b/>
          <w:i w:val="false"/>
          <w:color w:val="000000"/>
          <w:sz w:val="24"/>
          <w:lang w:val="pl-PL"/>
        </w:rPr>
        <w:t>Akty prawa miejscowego stanowionego przez gminę</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40.</w:t>
      </w:r>
      <w:r>
        <w:rPr>
          <w:rFonts w:ascii="Times New Roman"/>
          <w:b/>
          <w:i w:val="false"/>
          <w:color w:val="000000"/>
          <w:sz w:val="24"/>
          <w:lang w:val="pl-PL"/>
        </w:rPr>
        <w:t xml:space="preserve"> [Akty prawa miejscowego. Przepisy porządkowe rady gminy]</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Na podstawie upoważnień ustawowych gminie przysługuje prawo stanowienia aktów prawa miejscowego obowiązujących na obszarze gminy.</w:t>
      </w: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Na podstawie niniejszej ustawy organy gminy mogą wydawać akty prawa miejscowego w zakresie:</w:t>
      </w:r>
    </w:p>
    <w:p>
      <w:pPr>
        <w:spacing w:before="26" w:after="0"/>
        <w:ind w:left="373"/>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xml:space="preserve"> wewnętrznego ustroju gminy oraz jednostek pomocniczych;</w:t>
      </w:r>
    </w:p>
    <w:p>
      <w:pPr>
        <w:spacing w:before="26" w:after="0"/>
        <w:ind w:left="373"/>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xml:space="preserve"> organizacji urzędów i instytucji gminnych;</w:t>
      </w:r>
    </w:p>
    <w:p>
      <w:pPr>
        <w:spacing w:before="26" w:after="0"/>
        <w:ind w:left="373"/>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xml:space="preserve"> zasad zarządu mieniem gminy;</w:t>
      </w:r>
    </w:p>
    <w:p>
      <w:pPr>
        <w:spacing w:before="26" w:after="0"/>
        <w:ind w:left="373"/>
        <w:jc w:val="left"/>
        <w:textAlignment w:val="auto"/>
      </w:pPr>
      <w:r>
        <w:rPr>
          <w:rFonts w:ascii="Times New Roman"/>
          <w:b w:val="false"/>
          <w:i w:val="false"/>
          <w:color w:val="000000"/>
          <w:sz w:val="24"/>
          <w:lang w:val="pl-PL"/>
        </w:rPr>
        <w:t>4)</w:t>
      </w:r>
      <w:r>
        <w:rPr>
          <w:rFonts w:ascii="Times New Roman"/>
          <w:b w:val="false"/>
          <w:i w:val="false"/>
          <w:color w:val="000000"/>
          <w:sz w:val="24"/>
          <w:lang w:val="pl-PL"/>
        </w:rPr>
        <w:t xml:space="preserve"> zasad i trybu korzystania z gminnych obiektów i urządzeń użyteczności publicznej.</w:t>
      </w:r>
    </w:p>
    <w:p>
      <w:pPr>
        <w:spacing w:before="26" w:after="0"/>
        <w:ind w:left="0"/>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W zakresie nieuregulowanym w odrębnych ustawach lub innych przepisach powszechnie obowiązujących rada gminy może wydawać przepisy porządkowe, jeżeli jest to niezbędne dla ochrony życia lub zdrowia obywateli oraz dla zapewnienia porządku, spokoju i bezpieczeństwa publicznego.</w:t>
      </w:r>
    </w:p>
    <w:p>
      <w:pPr>
        <w:spacing w:before="26" w:after="0"/>
        <w:ind w:left="0"/>
        <w:jc w:val="left"/>
        <w:textAlignment w:val="auto"/>
      </w:pPr>
      <w:r>
        <w:rPr>
          <w:rFonts w:ascii="Times New Roman"/>
          <w:b w:val="false"/>
          <w:i w:val="false"/>
          <w:color w:val="000000"/>
          <w:sz w:val="24"/>
          <w:lang w:val="pl-PL"/>
        </w:rPr>
        <w:t>4.</w:t>
      </w:r>
      <w:r>
        <w:rPr>
          <w:rFonts w:ascii="Times New Roman"/>
          <w:b w:val="false"/>
          <w:i w:val="false"/>
          <w:color w:val="000000"/>
          <w:sz w:val="24"/>
          <w:lang w:val="pl-PL"/>
        </w:rPr>
        <w:t xml:space="preserve"> Przepisy porządkowe, o których mowa w ust. 3, mogą przewidywać za ich naruszanie karę grzywny wymierzaną w trybie i na zasadach określonych w </w:t>
      </w:r>
      <w:r>
        <w:rPr>
          <w:rFonts w:ascii="Times New Roman"/>
          <w:b w:val="false"/>
          <w:i w:val="false"/>
          <w:color w:val="1b1b1b"/>
          <w:sz w:val="24"/>
          <w:lang w:val="pl-PL"/>
        </w:rPr>
        <w:t>prawie</w:t>
      </w:r>
      <w:r>
        <w:rPr>
          <w:rFonts w:ascii="Times New Roman"/>
          <w:b w:val="false"/>
          <w:i w:val="false"/>
          <w:color w:val="000000"/>
          <w:sz w:val="24"/>
          <w:lang w:val="pl-PL"/>
        </w:rPr>
        <w:t xml:space="preserve"> o wykroczeniach.</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41.</w:t>
      </w:r>
      <w:r>
        <w:rPr>
          <w:rFonts w:ascii="Times New Roman"/>
          <w:b/>
          <w:i w:val="false"/>
          <w:color w:val="000000"/>
          <w:sz w:val="24"/>
          <w:lang w:val="pl-PL"/>
        </w:rPr>
        <w:t xml:space="preserve"> [Formy aktów prawa miejscowego. Przepisy porządkowe wójta]</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Akty prawa miejscowego ustanawia rada gminy w formie uchwały.</w:t>
      </w: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W przypadku niecierpiącym zwłoki przepisy porządkowe może wydać wójt, w formie zarządzenia.</w:t>
      </w:r>
    </w:p>
    <w:p>
      <w:pPr>
        <w:spacing w:before="26" w:after="0"/>
        <w:ind w:left="0"/>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Zarządzenie, o którym mowa w ust. 2, podlega zatwierdzeniu na najbliższej sesji rady gminy. Traci ono moc w razie odmowy zatwierdzenia bądź nieprzedstawienia do zatwierdzenia na najbliższej sesji rady.</w:t>
      </w:r>
    </w:p>
    <w:p>
      <w:pPr>
        <w:spacing w:before="26" w:after="0"/>
        <w:ind w:left="0"/>
        <w:jc w:val="left"/>
        <w:textAlignment w:val="auto"/>
      </w:pPr>
      <w:r>
        <w:rPr>
          <w:rFonts w:ascii="Times New Roman"/>
          <w:b w:val="false"/>
          <w:i w:val="false"/>
          <w:color w:val="000000"/>
          <w:sz w:val="24"/>
          <w:lang w:val="pl-PL"/>
        </w:rPr>
        <w:t>4.</w:t>
      </w:r>
      <w:r>
        <w:rPr>
          <w:rFonts w:ascii="Times New Roman"/>
          <w:b w:val="false"/>
          <w:i w:val="false"/>
          <w:color w:val="000000"/>
          <w:sz w:val="24"/>
          <w:lang w:val="pl-PL"/>
        </w:rPr>
        <w:t> W razie nieprzedstawienia do zatwierdzenia lub odmowy zatwierdzenia zarządzenia rada gminy określa termin utraty jego mocy obowiązującej.</w:t>
      </w:r>
    </w:p>
    <w:p>
      <w:pPr>
        <w:spacing w:before="26" w:after="0"/>
        <w:ind w:left="0"/>
        <w:jc w:val="left"/>
        <w:textAlignment w:val="auto"/>
      </w:pPr>
      <w:r>
        <w:rPr>
          <w:rFonts w:ascii="Times New Roman"/>
          <w:b w:val="false"/>
          <w:i w:val="false"/>
          <w:color w:val="000000"/>
          <w:sz w:val="24"/>
          <w:lang w:val="pl-PL"/>
        </w:rPr>
        <w:t>5.</w:t>
      </w:r>
      <w:r>
        <w:rPr>
          <w:rFonts w:ascii="Times New Roman"/>
          <w:b w:val="false"/>
          <w:i w:val="false"/>
          <w:color w:val="000000"/>
          <w:sz w:val="24"/>
          <w:lang w:val="pl-PL"/>
        </w:rPr>
        <w:t> Wójt przesyła przepisy porządkowe do wiadomości wójtom sąsiednich gmin i staroście powiatu, w którym leży gmina, następnego dnia po ich ustanowieniu.</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41a.</w:t>
      </w:r>
      <w:r>
        <w:rPr>
          <w:rFonts w:ascii="Times New Roman"/>
          <w:b/>
          <w:i w:val="false"/>
          <w:color w:val="000000"/>
          <w:sz w:val="24"/>
          <w:lang w:val="pl-PL"/>
        </w:rPr>
        <w:t xml:space="preserve"> [Obywatelska inicjatywa uchwałodawcza]</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Grupa mieszkańców gminy, posiadających czynne prawa wyborcze do organu stanowiącego, może wystąpić z obywatelską inicjatywą uchwałodawczą.</w:t>
      </w: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Grupa mieszkańców, o której mowa w ust. 1, musi liczyć:</w:t>
      </w:r>
    </w:p>
    <w:p>
      <w:pPr>
        <w:spacing w:before="26" w:after="0"/>
        <w:ind w:left="373"/>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xml:space="preserve"> w gminie do 5000 mieszkańców - co najmniej 100 osób;</w:t>
      </w:r>
    </w:p>
    <w:p>
      <w:pPr>
        <w:spacing w:before="26" w:after="0"/>
        <w:ind w:left="373"/>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xml:space="preserve"> w gminie do 20 000 mieszkańców - co najmniej 200 osób;</w:t>
      </w:r>
    </w:p>
    <w:p>
      <w:pPr>
        <w:spacing w:before="26" w:after="0"/>
        <w:ind w:left="373"/>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xml:space="preserve"> w gminie powyżej 20 000 mieszkańców - co najmniej 300 osób.</w:t>
      </w:r>
    </w:p>
    <w:p>
      <w:pPr>
        <w:spacing w:before="26" w:after="0"/>
        <w:ind w:left="0"/>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Projekt uchwały zgłoszony w ramach obywatelskiej inicjatywy uchwałodawczej staje się przedmiotem obrad rady gminy na najbliższej sesji po złożeniu projektu, jednak nie później niż po upływie 3 miesięcy od dnia złożenia projektu.</w:t>
      </w:r>
    </w:p>
    <w:p>
      <w:pPr>
        <w:spacing w:before="26" w:after="0"/>
        <w:ind w:left="0"/>
        <w:jc w:val="left"/>
        <w:textAlignment w:val="auto"/>
      </w:pPr>
      <w:r>
        <w:rPr>
          <w:rFonts w:ascii="Times New Roman"/>
          <w:b w:val="false"/>
          <w:i w:val="false"/>
          <w:color w:val="000000"/>
          <w:sz w:val="24"/>
          <w:lang w:val="pl-PL"/>
        </w:rPr>
        <w:t>3a.</w:t>
      </w:r>
      <w:r>
        <w:rPr>
          <w:rFonts w:ascii="Times New Roman"/>
          <w:b w:val="false"/>
          <w:i w:val="false"/>
          <w:color w:val="000000"/>
          <w:sz w:val="24"/>
          <w:lang w:val="pl-PL"/>
        </w:rPr>
        <w:t> Projekt uchwały o przystąpieniu do sporządzania aktu planowania przestrzennego zgłoszony w ramach obywatelskiej inicjatywy uchwałodawczej staje się przedmiotem obrad rady gminy nie później niż po upływie 3 miesięcy od dnia złożenia projektu.</w:t>
      </w:r>
    </w:p>
    <w:p>
      <w:pPr>
        <w:spacing w:before="26" w:after="0"/>
        <w:ind w:left="0"/>
        <w:jc w:val="left"/>
        <w:textAlignment w:val="auto"/>
      </w:pPr>
      <w:r>
        <w:rPr>
          <w:rFonts w:ascii="Times New Roman"/>
          <w:b w:val="false"/>
          <w:i w:val="false"/>
          <w:color w:val="000000"/>
          <w:sz w:val="24"/>
          <w:lang w:val="pl-PL"/>
        </w:rPr>
        <w:t>4.</w:t>
      </w:r>
      <w:r>
        <w:rPr>
          <w:rFonts w:ascii="Times New Roman"/>
          <w:b w:val="false"/>
          <w:i w:val="false"/>
          <w:color w:val="000000"/>
          <w:sz w:val="24"/>
          <w:lang w:val="pl-PL"/>
        </w:rPr>
        <w:t> Komitet inicjatywy uchwałodawczej ma prawo wskazywać osoby uprawnione do reprezentowania komitetu podczas prac rady gminy.</w:t>
      </w:r>
    </w:p>
    <w:p>
      <w:pPr>
        <w:spacing w:before="26" w:after="0"/>
        <w:ind w:left="0"/>
        <w:jc w:val="left"/>
        <w:textAlignment w:val="auto"/>
      </w:pPr>
      <w:r>
        <w:rPr>
          <w:rFonts w:ascii="Times New Roman"/>
          <w:b w:val="false"/>
          <w:i w:val="false"/>
          <w:color w:val="000000"/>
          <w:sz w:val="24"/>
          <w:lang w:val="pl-PL"/>
        </w:rPr>
        <w:t>5.</w:t>
      </w:r>
      <w:r>
        <w:rPr>
          <w:rFonts w:ascii="Times New Roman"/>
          <w:b w:val="false"/>
          <w:i w:val="false"/>
          <w:color w:val="000000"/>
          <w:sz w:val="24"/>
          <w:lang w:val="pl-PL"/>
        </w:rPr>
        <w:t> Rada gminy określi w drodze uchwały: szczegółowe zasady wnoszenia inicjatyw obywatelskich, zasady tworzenia komitetów inicjatyw uchwałodawczych, zasady promocji obywatelskich inicjatyw uchwałodawczych, formalne wymogi, jakim muszą odpowiadać składane projekty, z zastrzeżeniem przepisów niniejszej ustawy.</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42.</w:t>
      </w:r>
      <w:r>
        <w:rPr>
          <w:rFonts w:ascii="Times New Roman"/>
          <w:b/>
          <w:i w:val="false"/>
          <w:color w:val="000000"/>
          <w:sz w:val="24"/>
          <w:lang w:val="pl-PL"/>
        </w:rPr>
        <w:t xml:space="preserve"> [Ogłaszanie aktów prawa miejscowego]</w:t>
      </w:r>
    </w:p>
    <w:p>
      <w:pPr>
        <w:spacing w:after="0"/>
        <w:ind w:left="0"/>
        <w:jc w:val="left"/>
        <w:textAlignment w:val="auto"/>
      </w:pPr>
      <w:r>
        <w:rPr>
          <w:rFonts w:ascii="Times New Roman"/>
          <w:b w:val="false"/>
          <w:i w:val="false"/>
          <w:color w:val="000000"/>
          <w:sz w:val="24"/>
          <w:lang w:val="pl-PL"/>
        </w:rPr>
        <w:t xml:space="preserve"> Zasady i tryb ogłaszania aktów prawa miejscowego określa </w:t>
      </w:r>
      <w:r>
        <w:rPr>
          <w:rFonts w:ascii="Times New Roman"/>
          <w:b w:val="false"/>
          <w:i w:val="false"/>
          <w:color w:val="1b1b1b"/>
          <w:sz w:val="24"/>
          <w:lang w:val="pl-PL"/>
        </w:rPr>
        <w:t>ustawa</w:t>
      </w:r>
      <w:r>
        <w:rPr>
          <w:rFonts w:ascii="Times New Roman"/>
          <w:b w:val="false"/>
          <w:i w:val="false"/>
          <w:color w:val="000000"/>
          <w:sz w:val="24"/>
          <w:lang w:val="pl-PL"/>
        </w:rPr>
        <w:t xml:space="preserve"> z dnia 20 lipca 2000 r. o ogłaszaniu aktów normatywnych i niektórych innych aktów prawnych (Dz. U. z 2019 r. poz. 1461).</w:t>
      </w:r>
    </w:p>
    <w:p>
      <w:pPr>
        <w:spacing w:after="0"/>
        <w:ind w:left="0"/>
        <w:jc w:val="left"/>
        <w:textAlignment w:val="auto"/>
      </w:pPr>
    </w:p>
    <w:p>
      <w:pPr>
        <w:spacing w:before="89" w:after="0"/>
        <w:ind w:left="0"/>
        <w:jc w:val="center"/>
        <w:textAlignment w:val="auto"/>
      </w:pPr>
      <w:r>
        <w:rPr>
          <w:rFonts w:ascii="Times New Roman"/>
          <w:b/>
          <w:i w:val="false"/>
          <w:color w:val="000000"/>
          <w:sz w:val="24"/>
          <w:lang w:val="pl-PL"/>
        </w:rPr>
        <w:t>Rozdział  5</w:t>
      </w:r>
    </w:p>
    <w:p>
      <w:pPr>
        <w:spacing w:before="25" w:after="0"/>
        <w:ind w:left="0"/>
        <w:jc w:val="center"/>
        <w:textAlignment w:val="auto"/>
      </w:pPr>
      <w:r>
        <w:rPr>
          <w:rFonts w:ascii="Times New Roman"/>
          <w:b/>
          <w:i w:val="false"/>
          <w:color w:val="000000"/>
          <w:sz w:val="24"/>
          <w:lang w:val="pl-PL"/>
        </w:rPr>
        <w:t>Mienie komunalne</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43.</w:t>
      </w:r>
      <w:r>
        <w:rPr>
          <w:rFonts w:ascii="Times New Roman"/>
          <w:b/>
          <w:i w:val="false"/>
          <w:color w:val="000000"/>
          <w:sz w:val="24"/>
          <w:lang w:val="pl-PL"/>
        </w:rPr>
        <w:t xml:space="preserve"> [Pojęcie mienia komunalnego. Podmioty mienia komunalnego]</w:t>
      </w:r>
    </w:p>
    <w:p>
      <w:pPr>
        <w:spacing w:after="0"/>
        <w:ind w:left="0"/>
        <w:jc w:val="left"/>
        <w:textAlignment w:val="auto"/>
      </w:pPr>
      <w:r>
        <w:rPr>
          <w:rFonts w:ascii="Times New Roman"/>
          <w:b w:val="false"/>
          <w:i w:val="false"/>
          <w:color w:val="000000"/>
          <w:sz w:val="24"/>
          <w:lang w:val="pl-PL"/>
        </w:rPr>
        <w:t xml:space="preserve"> </w:t>
      </w:r>
      <w:r>
        <w:rPr>
          <w:rFonts w:ascii="Times New Roman"/>
          <w:b/>
          <w:i w:val="false"/>
          <w:color w:val="000000"/>
          <w:sz w:val="24"/>
          <w:lang w:val="pl-PL"/>
        </w:rPr>
        <w:t> </w:t>
      </w:r>
      <w:r>
        <w:rPr>
          <w:rFonts w:ascii="Times New Roman"/>
          <w:b w:val="false"/>
          <w:i w:val="false"/>
          <w:color w:val="000000"/>
          <w:sz w:val="24"/>
          <w:lang w:val="pl-PL"/>
        </w:rPr>
        <w:t>Mieniem komunalnym jest własność i inne prawa majątkowe należące do poszczególnych gmin i ich związków oraz mienie innych gminnych osób prawnych, w tym przedsiębiorstw.</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44.</w:t>
      </w:r>
      <w:r>
        <w:rPr>
          <w:rFonts w:ascii="Times New Roman"/>
          <w:b/>
          <w:i w:val="false"/>
          <w:color w:val="000000"/>
          <w:sz w:val="24"/>
          <w:lang w:val="pl-PL"/>
        </w:rPr>
        <w:t xml:space="preserve"> [Sposoby nabycia mienia komunalnego]</w:t>
      </w:r>
    </w:p>
    <w:p>
      <w:pPr>
        <w:spacing w:after="0"/>
        <w:ind w:left="0"/>
        <w:jc w:val="left"/>
        <w:textAlignment w:val="auto"/>
      </w:pPr>
      <w:r>
        <w:rPr>
          <w:rFonts w:ascii="Times New Roman"/>
          <w:b w:val="false"/>
          <w:i w:val="false"/>
          <w:color w:val="000000"/>
          <w:sz w:val="24"/>
          <w:lang w:val="pl-PL"/>
        </w:rPr>
        <w:t xml:space="preserve"> </w:t>
      </w:r>
      <w:r>
        <w:rPr>
          <w:rFonts w:ascii="Times New Roman"/>
          <w:b/>
          <w:i w:val="false"/>
          <w:color w:val="000000"/>
          <w:sz w:val="24"/>
          <w:lang w:val="pl-PL"/>
        </w:rPr>
        <w:t> </w:t>
      </w:r>
      <w:r>
        <w:rPr>
          <w:rFonts w:ascii="Times New Roman"/>
          <w:b w:val="false"/>
          <w:i w:val="false"/>
          <w:color w:val="000000"/>
          <w:sz w:val="24"/>
          <w:lang w:val="pl-PL"/>
        </w:rPr>
        <w:t>Nabycie mienia komunalnego następuje:</w:t>
      </w:r>
    </w:p>
    <w:p>
      <w:pPr>
        <w:spacing w:before="26" w:after="0"/>
        <w:ind w:left="373"/>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xml:space="preserve"> na podstawie </w:t>
      </w:r>
      <w:r>
        <w:rPr>
          <w:rFonts w:ascii="Times New Roman"/>
          <w:b w:val="false"/>
          <w:i w:val="false"/>
          <w:color w:val="1b1b1b"/>
          <w:sz w:val="24"/>
          <w:lang w:val="pl-PL"/>
        </w:rPr>
        <w:t>ustawy</w:t>
      </w:r>
      <w:r>
        <w:rPr>
          <w:rFonts w:ascii="Times New Roman"/>
          <w:b w:val="false"/>
          <w:i w:val="false"/>
          <w:color w:val="000000"/>
          <w:sz w:val="24"/>
          <w:lang w:val="pl-PL"/>
        </w:rPr>
        <w:t xml:space="preserve"> - Przepisy wprowadzające ustawę o samorządzie terytorialnym;</w:t>
      </w:r>
    </w:p>
    <w:p>
      <w:pPr>
        <w:spacing w:before="26" w:after="0"/>
        <w:ind w:left="373"/>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xml:space="preserve"> przez przekazanie gminie mienia w związku z utworzeniem lub zmianą granic gminy w trybie, o którym mowa w art. 4; przekazanie mienia następuje w drodze porozumienia zainteresowanych gmin, a w razie braku porozumienia - decyzją Prezesa Rady Ministrów, podjętą na wniosek ministra właściwego do spraw administracji publicznej;</w:t>
      </w:r>
    </w:p>
    <w:p>
      <w:pPr>
        <w:spacing w:before="26" w:after="0"/>
        <w:ind w:left="373"/>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xml:space="preserve"> w wyniku przekazania przez administrację rządową na zasadach określonych przez Radę Ministrów w drodze rozporządzenia;</w:t>
      </w:r>
    </w:p>
    <w:p>
      <w:pPr>
        <w:spacing w:before="26" w:after="0"/>
        <w:ind w:left="373"/>
        <w:jc w:val="left"/>
        <w:textAlignment w:val="auto"/>
      </w:pPr>
      <w:r>
        <w:rPr>
          <w:rFonts w:ascii="Times New Roman"/>
          <w:b w:val="false"/>
          <w:i w:val="false"/>
          <w:color w:val="000000"/>
          <w:sz w:val="24"/>
          <w:lang w:val="pl-PL"/>
        </w:rPr>
        <w:t>4)</w:t>
      </w:r>
      <w:r>
        <w:rPr>
          <w:rFonts w:ascii="Times New Roman"/>
          <w:b w:val="false"/>
          <w:i w:val="false"/>
          <w:color w:val="000000"/>
          <w:sz w:val="24"/>
          <w:lang w:val="pl-PL"/>
        </w:rPr>
        <w:t xml:space="preserve"> w wyniku własnej działalności gospodarczej;</w:t>
      </w:r>
    </w:p>
    <w:p>
      <w:pPr>
        <w:spacing w:before="26" w:after="0"/>
        <w:ind w:left="373"/>
        <w:jc w:val="left"/>
        <w:textAlignment w:val="auto"/>
      </w:pPr>
      <w:r>
        <w:rPr>
          <w:rFonts w:ascii="Times New Roman"/>
          <w:b w:val="false"/>
          <w:i w:val="false"/>
          <w:color w:val="000000"/>
          <w:sz w:val="24"/>
          <w:lang w:val="pl-PL"/>
        </w:rPr>
        <w:t>5)</w:t>
      </w:r>
      <w:r>
        <w:rPr>
          <w:rFonts w:ascii="Times New Roman"/>
          <w:b w:val="false"/>
          <w:i w:val="false"/>
          <w:color w:val="000000"/>
          <w:sz w:val="24"/>
          <w:lang w:val="pl-PL"/>
        </w:rPr>
        <w:t xml:space="preserve"> przez inne czynności prawne;</w:t>
      </w:r>
    </w:p>
    <w:p>
      <w:pPr>
        <w:spacing w:before="26" w:after="0"/>
        <w:ind w:left="373"/>
        <w:jc w:val="left"/>
        <w:textAlignment w:val="auto"/>
      </w:pPr>
      <w:r>
        <w:rPr>
          <w:rFonts w:ascii="Times New Roman"/>
          <w:b w:val="false"/>
          <w:i w:val="false"/>
          <w:color w:val="000000"/>
          <w:sz w:val="24"/>
          <w:lang w:val="pl-PL"/>
        </w:rPr>
        <w:t>6)</w:t>
      </w:r>
      <w:r>
        <w:rPr>
          <w:rFonts w:ascii="Times New Roman"/>
          <w:b w:val="false"/>
          <w:i w:val="false"/>
          <w:color w:val="000000"/>
          <w:sz w:val="24"/>
          <w:lang w:val="pl-PL"/>
        </w:rPr>
        <w:t xml:space="preserve"> w innych przypadkach określonych odrębnymi </w:t>
      </w:r>
      <w:r>
        <w:rPr>
          <w:rFonts w:ascii="Times New Roman"/>
          <w:b w:val="false"/>
          <w:i w:val="false"/>
          <w:color w:val="1b1b1b"/>
          <w:sz w:val="24"/>
          <w:lang w:val="pl-PL"/>
        </w:rPr>
        <w:t>przepisami</w:t>
      </w:r>
      <w:r>
        <w:rPr>
          <w:rFonts w:ascii="Times New Roman"/>
          <w:b w:val="false"/>
          <w:i w:val="false"/>
          <w:color w:val="000000"/>
          <w:sz w:val="24"/>
          <w:lang w:val="pl-PL"/>
        </w:rPr>
        <w:t>.</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45.</w:t>
      </w:r>
      <w:r>
        <w:rPr>
          <w:rFonts w:ascii="Times New Roman"/>
          <w:b/>
          <w:i w:val="false"/>
          <w:color w:val="000000"/>
          <w:sz w:val="24"/>
          <w:lang w:val="pl-PL"/>
        </w:rPr>
        <w:t xml:space="preserve"> [Dysponowanie mieniem komunalnym]</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Podmioty mienia komunalnego samodzielnie decydują o przeznaczeniu i sposobie wykorzystania składników majątkowych, przy zachowaniu wymogów zawartych w odrębnych przepisach prawa.</w:t>
      </w: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(uchylony).</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46.</w:t>
      </w:r>
      <w:r>
        <w:rPr>
          <w:rFonts w:ascii="Times New Roman"/>
          <w:b/>
          <w:i w:val="false"/>
          <w:color w:val="000000"/>
          <w:sz w:val="24"/>
          <w:lang w:val="pl-PL"/>
        </w:rPr>
        <w:t xml:space="preserve"> [Składanie oświadczeń woli w imieniu gminy. Kontrasygnata]</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Oświadczenie woli w imieniu gminy w zakresie zarządu mieniem składa jednoosobowo wójt albo działający na podstawie jego upoważnienia zastępca wójta samodzielnie albo wraz z inną upoważnioną przez wójta osobą.</w:t>
      </w: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(uchylony).</w:t>
      </w:r>
    </w:p>
    <w:p>
      <w:pPr>
        <w:spacing w:before="26" w:after="0"/>
        <w:ind w:left="0"/>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Jeżeli czynność prawna może spowodować powstanie zobowiązań pieniężnych, do jej skuteczności potrzebna jest kontrasygnata skarbnika gminy (głównego księgowego budżetu) lub osoby przez niego upoważnionej.</w:t>
      </w:r>
    </w:p>
    <w:p>
      <w:pPr>
        <w:spacing w:before="26" w:after="0"/>
        <w:ind w:left="0"/>
        <w:jc w:val="left"/>
        <w:textAlignment w:val="auto"/>
      </w:pPr>
      <w:r>
        <w:rPr>
          <w:rFonts w:ascii="Times New Roman"/>
          <w:b w:val="false"/>
          <w:i w:val="false"/>
          <w:color w:val="000000"/>
          <w:sz w:val="24"/>
          <w:lang w:val="pl-PL"/>
        </w:rPr>
        <w:t>4.</w:t>
      </w:r>
      <w:r>
        <w:rPr>
          <w:rFonts w:ascii="Times New Roman"/>
          <w:b w:val="false"/>
          <w:i w:val="false"/>
          <w:color w:val="000000"/>
          <w:sz w:val="24"/>
          <w:lang w:val="pl-PL"/>
        </w:rPr>
        <w:t> Skarbnik gminy (główny księgowy budżetu), który odmówił kontrasygnaty, dokona jej jednak na pisemne polecenie zwierzchnika, powiadamiając o tym radę gminy oraz regionalną izbę obrachunkową.</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47.</w:t>
      </w:r>
      <w:r>
        <w:rPr>
          <w:rFonts w:ascii="Times New Roman"/>
          <w:b/>
          <w:i w:val="false"/>
          <w:color w:val="000000"/>
          <w:sz w:val="24"/>
          <w:lang w:val="pl-PL"/>
        </w:rPr>
        <w:t xml:space="preserve"> [Pełnomocnictwo kierownika gminnej jednostki organizacyjnej]</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Kierownicy jednostek organizacyjnych gminy nieposiadających osobowości prawnej działają jednoosobowo na podstawie pełnomocnictwa udzielonego przez wójta.</w:t>
      </w: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(uchylony).</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48.</w:t>
      </w:r>
      <w:r>
        <w:rPr>
          <w:rFonts w:ascii="Times New Roman"/>
          <w:b/>
          <w:i w:val="false"/>
          <w:color w:val="000000"/>
          <w:sz w:val="24"/>
          <w:lang w:val="pl-PL"/>
        </w:rPr>
        <w:t xml:space="preserve"> [Dysponowanie mieniem komunalnym przez jednostkę pomocniczą]</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Jednostka pomocnicza zarządza i korzysta z mienia komunalnego oraz rozporządza dochodami z tego źródła w zakresie określonym w statucie. Statut ustala również zakres czynności dokonywanych samodzielnie przez jednostkę pomocniczą w zakresie przysługującego jej mienia.</w:t>
      </w:r>
    </w:p>
    <w:p>
      <w:pPr>
        <w:spacing w:before="26" w:after="0"/>
        <w:ind w:left="0"/>
        <w:jc w:val="left"/>
        <w:textAlignment w:val="auto"/>
      </w:pPr>
      <w:r>
        <w:rPr>
          <w:rFonts w:ascii="Times New Roman"/>
          <w:b w:val="false"/>
          <w:i w:val="false"/>
          <w:color w:val="000000"/>
          <w:sz w:val="24"/>
          <w:lang w:val="pl-PL"/>
        </w:rPr>
        <w:t>1a.</w:t>
      </w:r>
      <w:r>
        <w:rPr>
          <w:rFonts w:ascii="Times New Roman"/>
          <w:b w:val="false"/>
          <w:i w:val="false"/>
          <w:color w:val="000000"/>
          <w:sz w:val="24"/>
          <w:lang w:val="pl-PL"/>
        </w:rPr>
        <w:t> Przepis ust. 1 stosuje się odpowiednio do jednostki niższego rzędu, o której mowa w art. 35 ust. 2.</w:t>
      </w: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Rada gminy nie może uszczuplić dotychczasowych praw sołectw do korzystania z mienia bez zgody zebrania wiejskiego.</w:t>
      </w:r>
    </w:p>
    <w:p>
      <w:pPr>
        <w:spacing w:before="26" w:after="0"/>
        <w:ind w:left="0"/>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Wszystkie przysługujące dotychczas mieszkańcom wsi prawa własności, użytkowania lub inne prawa rzeczowe i majątkowe, zwane dalej mieniem gminnym, pozostają nienaruszone.</w:t>
      </w:r>
    </w:p>
    <w:p>
      <w:pPr>
        <w:spacing w:before="26" w:after="0"/>
        <w:ind w:left="0"/>
        <w:jc w:val="left"/>
        <w:textAlignment w:val="auto"/>
      </w:pPr>
      <w:r>
        <w:rPr>
          <w:rFonts w:ascii="Times New Roman"/>
          <w:b w:val="false"/>
          <w:i w:val="false"/>
          <w:color w:val="000000"/>
          <w:sz w:val="24"/>
          <w:lang w:val="pl-PL"/>
        </w:rPr>
        <w:t>4.</w:t>
      </w:r>
      <w:r>
        <w:rPr>
          <w:rFonts w:ascii="Times New Roman"/>
          <w:b w:val="false"/>
          <w:i w:val="false"/>
          <w:color w:val="000000"/>
          <w:sz w:val="24"/>
          <w:lang w:val="pl-PL"/>
        </w:rPr>
        <w:t> Do mienia gminnego mają zastosowanie, z zastrzeżeniem ust. 3, przepisy dotyczące mienia komunalnego.</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49.</w:t>
      </w:r>
      <w:r>
        <w:rPr>
          <w:rFonts w:ascii="Times New Roman"/>
          <w:b/>
          <w:i w:val="false"/>
          <w:color w:val="000000"/>
          <w:sz w:val="24"/>
          <w:lang w:val="pl-PL"/>
        </w:rPr>
        <w:t xml:space="preserve"> [Odpowiedzialność za zobowiązania]</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Gmina nie ponosi odpowiedzialności za zobowiązania innych gminnych osób prawnych, a te nie ponoszą odpowiedzialności za zobowiązania gminy.</w:t>
      </w: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W przypadku zniesienia lub podziału gminy odpowiedzialność za jej zobowiązania ponoszą solidarnie gminy, które przejęły jej mienie.</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50.</w:t>
      </w:r>
      <w:r>
        <w:rPr>
          <w:rFonts w:ascii="Times New Roman"/>
          <w:b/>
          <w:i w:val="false"/>
          <w:color w:val="000000"/>
          <w:sz w:val="24"/>
          <w:lang w:val="pl-PL"/>
        </w:rPr>
        <w:t xml:space="preserve"> [Zachowanie szczególnej staranności przy wykonywaniu zarządu mieniem]</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Obowiązkiem osób uczestniczących w zarządzaniu mieniem komunalnym jest zachowanie szczególnej staranności przy wykonywaniu zarządu zgodnie z przeznaczeniem tego mienia i jego ochrona.</w:t>
      </w: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Ochrona mienia obejmuje w szczególności monitoring na terenie nieruchomości i w obiektach budowlanych stanowiących mienie gminy i na terenie wokół takich nieruchomości i obiektów budowlanych. Przepisy art. 9a ust. 2-6 stosuje się odpowiednio.</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50a.</w:t>
      </w:r>
      <w:r>
        <w:rPr>
          <w:rFonts w:ascii="Times New Roman"/>
          <w:b/>
          <w:i w:val="false"/>
          <w:color w:val="000000"/>
          <w:sz w:val="24"/>
          <w:lang w:val="pl-PL"/>
        </w:rPr>
        <w:t xml:space="preserve"> [Umowne określenie niższej stawki opłaty za zajęcie pasa drogowego w przypadku niedrogowych inwestycji zaspokajającej zbiorowe potrzeby wspólnoty]</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xml:space="preserve"> Gmina może zawrzeć z inwestorem umowę, na mocy której w zamian za realizację inwestycji zaspokajającej zbiorowe potrzeby wspólnoty, związanej z zajęciem przez inwestora pasa drogowego w celu umieszczenia w pasie drogowym urządzeń infrastruktury technicznej niezwiązanych z potrzebami zarządzania drogami lub potrzebami ruchu drogowego, ustali stawkę opłaty za zajęcie pasa drogowego w wysokości niższej niż określona w uchwale, o której mowa w </w:t>
      </w:r>
      <w:r>
        <w:rPr>
          <w:rFonts w:ascii="Times New Roman"/>
          <w:b w:val="false"/>
          <w:i w:val="false"/>
          <w:color w:val="1b1b1b"/>
          <w:sz w:val="24"/>
          <w:lang w:val="pl-PL"/>
        </w:rPr>
        <w:t>art. 40 ust. 8</w:t>
      </w:r>
      <w:r>
        <w:rPr>
          <w:rFonts w:ascii="Times New Roman"/>
          <w:b w:val="false"/>
          <w:i w:val="false"/>
          <w:color w:val="000000"/>
          <w:sz w:val="24"/>
          <w:lang w:val="pl-PL"/>
        </w:rPr>
        <w:t xml:space="preserve"> ustawy z dnia 21 marca 1985 r. o drogach publicznych. Zawarcie umowy następuje z uwzględnieniem przepisów dotyczących pomocy publicznej.</w:t>
      </w: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Gmina ogłasza w Biuletynie Informacji Publicznej i na stronie internetowej gminy oraz w inny sposób zwyczajowo przyjęty na obszarze gminy komunikat o zamiarze zawarcia umowy. Komunikat zawiera co najmniej wskazanie rodzaju inwestycji zaspokajającej zbiorowe potrzeby wspólnoty, której realizacji przez inwestora gmina oczekuje, oraz informację o terminie, w jakim inwestorzy mogą zgłaszać zainteresowanie zawarciem umowy.</w:t>
      </w:r>
    </w:p>
    <w:p>
      <w:pPr>
        <w:spacing w:before="26" w:after="0"/>
        <w:ind w:left="0"/>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Zawarcie umowy poprzedzają negocjacje z inwestorami, którzy zgłosili zainteresowanie jej zawarciem.</w:t>
      </w:r>
    </w:p>
    <w:p>
      <w:pPr>
        <w:spacing w:before="26" w:after="0"/>
        <w:ind w:left="0"/>
        <w:jc w:val="left"/>
        <w:textAlignment w:val="auto"/>
      </w:pPr>
      <w:r>
        <w:rPr>
          <w:rFonts w:ascii="Times New Roman"/>
          <w:b w:val="false"/>
          <w:i w:val="false"/>
          <w:color w:val="000000"/>
          <w:sz w:val="24"/>
          <w:lang w:val="pl-PL"/>
        </w:rPr>
        <w:t>4.</w:t>
      </w:r>
      <w:r>
        <w:rPr>
          <w:rFonts w:ascii="Times New Roman"/>
          <w:b w:val="false"/>
          <w:i w:val="false"/>
          <w:color w:val="000000"/>
          <w:sz w:val="24"/>
          <w:lang w:val="pl-PL"/>
        </w:rPr>
        <w:t> Zawarcie umowy nie może nastąpić przed upływem 30 dni od dnia upływu terminu na zgłoszenie zainteresowania jej zawarciem, wskazanego w komunikacie.</w:t>
      </w:r>
    </w:p>
    <w:p>
      <w:pPr>
        <w:spacing w:before="26" w:after="0"/>
        <w:ind w:left="0"/>
        <w:jc w:val="left"/>
        <w:textAlignment w:val="auto"/>
      </w:pPr>
      <w:r>
        <w:rPr>
          <w:rFonts w:ascii="Times New Roman"/>
          <w:b w:val="false"/>
          <w:i w:val="false"/>
          <w:color w:val="000000"/>
          <w:sz w:val="24"/>
          <w:lang w:val="pl-PL"/>
        </w:rPr>
        <w:t>5.</w:t>
      </w:r>
      <w:r>
        <w:rPr>
          <w:rFonts w:ascii="Times New Roman"/>
          <w:b w:val="false"/>
          <w:i w:val="false"/>
          <w:color w:val="000000"/>
          <w:sz w:val="24"/>
          <w:lang w:val="pl-PL"/>
        </w:rPr>
        <w:t> Umowa określa co najmniej:</w:t>
      </w:r>
    </w:p>
    <w:p>
      <w:pPr>
        <w:spacing w:before="26" w:after="0"/>
        <w:ind w:left="373"/>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xml:space="preserve"> rodzaj inwestycji wraz ze wskazaniem celu, któremu ma służyć jej zawarcie z punktu widzenia zaspokojenia zbiorowych potrzeb wspólnoty;</w:t>
      </w:r>
    </w:p>
    <w:p>
      <w:pPr>
        <w:spacing w:before="26" w:after="0"/>
        <w:ind w:left="373"/>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xml:space="preserve"> sposób, miejsce i szczegółowe warunki realizacji inwestycji;</w:t>
      </w:r>
    </w:p>
    <w:p>
      <w:pPr>
        <w:spacing w:before="26" w:after="0"/>
        <w:ind w:left="373"/>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xml:space="preserve"> wysokość stawki opłaty za zajęcie pasa drogowego w odniesieniu do umieszczanych w pasie drogowym urządzeń infrastruktury technicznej związanych z realizacją inwestycji.</w:t>
      </w:r>
    </w:p>
    <w:p>
      <w:pPr>
        <w:spacing w:before="26" w:after="0"/>
        <w:ind w:left="0"/>
        <w:jc w:val="left"/>
        <w:textAlignment w:val="auto"/>
      </w:pPr>
      <w:r>
        <w:rPr>
          <w:rFonts w:ascii="Times New Roman"/>
          <w:b w:val="false"/>
          <w:i w:val="false"/>
          <w:color w:val="000000"/>
          <w:sz w:val="24"/>
          <w:lang w:val="pl-PL"/>
        </w:rPr>
        <w:t>6.</w:t>
      </w:r>
      <w:r>
        <w:rPr>
          <w:rFonts w:ascii="Times New Roman"/>
          <w:b w:val="false"/>
          <w:i w:val="false"/>
          <w:color w:val="000000"/>
          <w:sz w:val="24"/>
          <w:lang w:val="pl-PL"/>
        </w:rPr>
        <w:t> Wysokość stawki opłaty, o której mowa w ust. 5 pkt 3, ustala się:</w:t>
      </w:r>
    </w:p>
    <w:p>
      <w:pPr>
        <w:spacing w:before="26" w:after="0"/>
        <w:ind w:left="373"/>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xml:space="preserve"> w oparciu o dane o przewidywanej liczbie metrów kwadratowych pasa drogowego zajętych przez urządzenia infrastruktury technicznej niezwiązane z potrzebami zarządzania drogami lub potrzebami ruchu drogowego, umieszczane w pasie drogowym w związku z realizacją inwestycji;</w:t>
      </w:r>
    </w:p>
    <w:p>
      <w:pPr>
        <w:spacing w:before="26" w:after="0"/>
        <w:ind w:left="373"/>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xml:space="preserve"> w oparciu o dane o przewidywanych przychodach inwestora z realizowanej inwestycji w okresie 5 lat od jej zakończenia;</w:t>
      </w:r>
    </w:p>
    <w:p>
      <w:pPr>
        <w:spacing w:before="26" w:after="0"/>
        <w:ind w:left="373"/>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xml:space="preserve"> na poziomie umożliwiającym odzyskanie przez inwestora różnicy między przewidywaną wartością bieżącą netto inwestycji w terminie, o którym mowa w pkt 2, uwzględniającą obowiązek ponoszenia opłat za zajęcie pasa drogowego obliczonych według wysokości stawek opłat określonych w uchwale, o której mowa w </w:t>
      </w:r>
      <w:r>
        <w:rPr>
          <w:rFonts w:ascii="Times New Roman"/>
          <w:b w:val="false"/>
          <w:i w:val="false"/>
          <w:color w:val="1b1b1b"/>
          <w:sz w:val="24"/>
          <w:lang w:val="pl-PL"/>
        </w:rPr>
        <w:t>art. 40 ust. 8</w:t>
      </w:r>
      <w:r>
        <w:rPr>
          <w:rFonts w:ascii="Times New Roman"/>
          <w:b w:val="false"/>
          <w:i w:val="false"/>
          <w:color w:val="000000"/>
          <w:sz w:val="24"/>
          <w:lang w:val="pl-PL"/>
        </w:rPr>
        <w:t xml:space="preserve"> ustawy z dnia 21 marca 1985 r. o drogach publicznych, a przewidywaną wartością bieżącą netto inwestycji w tym terminie, uwzględniającą rozsądny zysk z inwestycji.</w:t>
      </w:r>
    </w:p>
    <w:p>
      <w:pPr>
        <w:spacing w:before="26" w:after="0"/>
        <w:ind w:left="0"/>
        <w:jc w:val="left"/>
        <w:textAlignment w:val="auto"/>
      </w:pPr>
      <w:r>
        <w:rPr>
          <w:rFonts w:ascii="Times New Roman"/>
          <w:b w:val="false"/>
          <w:i w:val="false"/>
          <w:color w:val="000000"/>
          <w:sz w:val="24"/>
          <w:lang w:val="pl-PL"/>
        </w:rPr>
        <w:t>7.</w:t>
      </w:r>
      <w:r>
        <w:rPr>
          <w:rFonts w:ascii="Times New Roman"/>
          <w:b w:val="false"/>
          <w:i w:val="false"/>
          <w:color w:val="000000"/>
          <w:sz w:val="24"/>
          <w:lang w:val="pl-PL"/>
        </w:rPr>
        <w:t> Umowa jest zawierana pod rygorem nieważności w formie aktu notarialnego.</w:t>
      </w:r>
    </w:p>
    <w:p>
      <w:pPr>
        <w:spacing w:before="26" w:after="0"/>
        <w:ind w:left="0"/>
        <w:jc w:val="left"/>
        <w:textAlignment w:val="auto"/>
      </w:pPr>
      <w:r>
        <w:rPr>
          <w:rFonts w:ascii="Times New Roman"/>
          <w:b w:val="false"/>
          <w:i w:val="false"/>
          <w:color w:val="000000"/>
          <w:sz w:val="24"/>
          <w:lang w:val="pl-PL"/>
        </w:rPr>
        <w:t>8.</w:t>
      </w:r>
      <w:r>
        <w:rPr>
          <w:rFonts w:ascii="Times New Roman"/>
          <w:b w:val="false"/>
          <w:i w:val="false"/>
          <w:color w:val="000000"/>
          <w:sz w:val="24"/>
          <w:lang w:val="pl-PL"/>
        </w:rPr>
        <w:t> Informacja o zawarciu umowy wraz z jej treścią podlega niezwłocznej publikacji w Biuletynie Informacji Publicznej i na stronie internetowej gminy oraz w inny sposób zwyczajowo przyjęty na obszarze gminy.</w:t>
      </w:r>
    </w:p>
    <w:p>
      <w:pPr>
        <w:spacing w:before="26" w:after="0"/>
        <w:ind w:left="0"/>
        <w:jc w:val="left"/>
        <w:textAlignment w:val="auto"/>
      </w:pPr>
      <w:r>
        <w:rPr>
          <w:rFonts w:ascii="Times New Roman"/>
          <w:b w:val="false"/>
          <w:i w:val="false"/>
          <w:color w:val="000000"/>
          <w:sz w:val="24"/>
          <w:lang w:val="pl-PL"/>
        </w:rPr>
        <w:t>9.</w:t>
      </w:r>
      <w:r>
        <w:rPr>
          <w:rFonts w:ascii="Times New Roman"/>
          <w:b w:val="false"/>
          <w:i w:val="false"/>
          <w:color w:val="000000"/>
          <w:sz w:val="24"/>
          <w:lang w:val="pl-PL"/>
        </w:rPr>
        <w:t> Do zmiany umowy stosuje się przepisy ust. 2-8.</w:t>
      </w:r>
    </w:p>
    <w:p>
      <w:pPr>
        <w:spacing w:after="0"/>
        <w:ind w:left="0"/>
        <w:jc w:val="left"/>
        <w:textAlignment w:val="auto"/>
      </w:pPr>
    </w:p>
    <w:p>
      <w:pPr>
        <w:spacing w:before="89" w:after="0"/>
        <w:ind w:left="0"/>
        <w:jc w:val="center"/>
        <w:textAlignment w:val="auto"/>
      </w:pPr>
      <w:r>
        <w:rPr>
          <w:rFonts w:ascii="Times New Roman"/>
          <w:b/>
          <w:i w:val="false"/>
          <w:color w:val="000000"/>
          <w:sz w:val="24"/>
          <w:lang w:val="pl-PL"/>
        </w:rPr>
        <w:t>Rozdział  6</w:t>
      </w:r>
    </w:p>
    <w:p>
      <w:pPr>
        <w:spacing w:before="25" w:after="0"/>
        <w:ind w:left="0"/>
        <w:jc w:val="center"/>
        <w:textAlignment w:val="auto"/>
      </w:pPr>
      <w:r>
        <w:rPr>
          <w:rFonts w:ascii="Times New Roman"/>
          <w:b/>
          <w:i w:val="false"/>
          <w:color w:val="000000"/>
          <w:sz w:val="24"/>
          <w:lang w:val="pl-PL"/>
        </w:rPr>
        <w:t>Gminna gospodarka finansowa</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51.</w:t>
      </w:r>
      <w:r>
        <w:rPr>
          <w:rFonts w:ascii="Times New Roman"/>
          <w:b/>
          <w:i w:val="false"/>
          <w:color w:val="000000"/>
          <w:sz w:val="24"/>
          <w:lang w:val="pl-PL"/>
        </w:rPr>
        <w:t xml:space="preserve"> [Samodzielność gminnej gospodarki finansowej]</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Gmina samodzielnie prowadzi gospodarkę finansową na podstawie uchwały budżetowej gminy.</w:t>
      </w: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(uchylony).</w:t>
      </w:r>
    </w:p>
    <w:p>
      <w:pPr>
        <w:spacing w:before="26" w:after="0"/>
        <w:ind w:left="0"/>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Statut gminy określa uprawnienia jednostki pomocniczej do prowadzenia gospodarki finansowej w ramach budżetu gminy.</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52.</w:t>
      </w:r>
    </w:p>
    <w:p>
      <w:pPr>
        <w:spacing w:after="0"/>
        <w:ind w:left="0"/>
        <w:jc w:val="left"/>
        <w:textAlignment w:val="auto"/>
      </w:pPr>
      <w:r>
        <w:rPr>
          <w:rFonts w:ascii="Times New Roman"/>
          <w:b w:val="false"/>
          <w:i w:val="false"/>
          <w:color w:val="000000"/>
          <w:sz w:val="24"/>
          <w:lang w:val="pl-PL"/>
        </w:rPr>
        <w:t> (uchylony).</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53.</w:t>
      </w:r>
    </w:p>
    <w:p>
      <w:pPr>
        <w:spacing w:after="0"/>
        <w:ind w:left="0"/>
        <w:jc w:val="left"/>
        <w:textAlignment w:val="auto"/>
      </w:pPr>
      <w:r>
        <w:rPr>
          <w:rFonts w:ascii="Times New Roman"/>
          <w:b w:val="false"/>
          <w:i w:val="false"/>
          <w:color w:val="000000"/>
          <w:sz w:val="24"/>
          <w:lang w:val="pl-PL"/>
        </w:rPr>
        <w:t> (uchylony).</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54.</w:t>
      </w:r>
      <w:r>
        <w:rPr>
          <w:rFonts w:ascii="Times New Roman"/>
          <w:b/>
          <w:i w:val="false"/>
          <w:color w:val="000000"/>
          <w:sz w:val="24"/>
          <w:lang w:val="pl-PL"/>
        </w:rPr>
        <w:t xml:space="preserve"> [Źródła dochodów gminy]</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xml:space="preserve"> Dochody gminy są określone w odrębnych </w:t>
      </w:r>
      <w:r>
        <w:rPr>
          <w:rFonts w:ascii="Times New Roman"/>
          <w:b w:val="false"/>
          <w:i w:val="false"/>
          <w:color w:val="1b1b1b"/>
          <w:sz w:val="24"/>
          <w:lang w:val="pl-PL"/>
        </w:rPr>
        <w:t>ustawach</w:t>
      </w:r>
      <w:r>
        <w:rPr>
          <w:rFonts w:ascii="Times New Roman"/>
          <w:b w:val="false"/>
          <w:i w:val="false"/>
          <w:color w:val="000000"/>
          <w:sz w:val="24"/>
          <w:lang w:val="pl-PL"/>
        </w:rPr>
        <w:t>.</w:t>
      </w: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xml:space="preserve"> Dochodami gminy mogą być także wpływy z samoopodatkowania mieszkańców. Samoopodatkowanie może nastąpić wyłącznie w drodze referendum gminnego, o którym mowa w </w:t>
      </w:r>
      <w:r>
        <w:rPr>
          <w:rFonts w:ascii="Times New Roman"/>
          <w:b w:val="false"/>
          <w:i w:val="false"/>
          <w:color w:val="1b1b1b"/>
          <w:sz w:val="24"/>
          <w:lang w:val="pl-PL"/>
        </w:rPr>
        <w:t>art. 2 ust. 2 pkt 2</w:t>
      </w:r>
      <w:r>
        <w:rPr>
          <w:rFonts w:ascii="Times New Roman"/>
          <w:b w:val="false"/>
          <w:i w:val="false"/>
          <w:color w:val="000000"/>
          <w:sz w:val="24"/>
          <w:lang w:val="pl-PL"/>
        </w:rPr>
        <w:t xml:space="preserve"> ustawy z dnia 15 września 2000 r. o referendum lokalnym.</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55.</w:t>
      </w:r>
    </w:p>
    <w:p>
      <w:pPr>
        <w:spacing w:after="0"/>
        <w:ind w:left="0"/>
        <w:jc w:val="left"/>
        <w:textAlignment w:val="auto"/>
      </w:pPr>
      <w:r>
        <w:rPr>
          <w:rFonts w:ascii="Times New Roman"/>
          <w:b w:val="false"/>
          <w:i w:val="false"/>
          <w:color w:val="000000"/>
          <w:sz w:val="24"/>
          <w:lang w:val="pl-PL"/>
        </w:rPr>
        <w:t> (uchylony).</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56.</w:t>
      </w:r>
    </w:p>
    <w:p>
      <w:pPr>
        <w:spacing w:after="0"/>
        <w:ind w:left="0"/>
        <w:jc w:val="left"/>
        <w:textAlignment w:val="auto"/>
      </w:pPr>
      <w:r>
        <w:rPr>
          <w:rFonts w:ascii="Times New Roman"/>
          <w:b w:val="false"/>
          <w:i w:val="false"/>
          <w:color w:val="000000"/>
          <w:sz w:val="24"/>
          <w:lang w:val="pl-PL"/>
        </w:rPr>
        <w:t xml:space="preserve"> </w:t>
      </w:r>
      <w:r>
        <w:rPr>
          <w:rFonts w:ascii="Times New Roman"/>
          <w:b/>
          <w:i w:val="false"/>
          <w:color w:val="000000"/>
          <w:sz w:val="24"/>
          <w:lang w:val="pl-PL"/>
        </w:rPr>
        <w:t> </w:t>
      </w:r>
      <w:r>
        <w:rPr>
          <w:rFonts w:ascii="Times New Roman"/>
          <w:b w:val="false"/>
          <w:i w:val="false"/>
          <w:color w:val="000000"/>
          <w:sz w:val="24"/>
          <w:lang w:val="pl-PL"/>
        </w:rPr>
        <w:t>(uchylony).</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57.</w:t>
      </w:r>
    </w:p>
    <w:p>
      <w:pPr>
        <w:spacing w:after="0"/>
        <w:ind w:left="0"/>
        <w:jc w:val="left"/>
        <w:textAlignment w:val="auto"/>
      </w:pPr>
      <w:r>
        <w:rPr>
          <w:rFonts w:ascii="Times New Roman"/>
          <w:b w:val="false"/>
          <w:i w:val="false"/>
          <w:color w:val="000000"/>
          <w:sz w:val="24"/>
          <w:lang w:val="pl-PL"/>
        </w:rPr>
        <w:t xml:space="preserve"> </w:t>
      </w:r>
      <w:r>
        <w:rPr>
          <w:rFonts w:ascii="Times New Roman"/>
          <w:b/>
          <w:i w:val="false"/>
          <w:color w:val="000000"/>
          <w:sz w:val="24"/>
          <w:lang w:val="pl-PL"/>
        </w:rPr>
        <w:t> </w:t>
      </w:r>
      <w:r>
        <w:rPr>
          <w:rFonts w:ascii="Times New Roman"/>
          <w:b w:val="false"/>
          <w:i w:val="false"/>
          <w:color w:val="000000"/>
          <w:sz w:val="24"/>
          <w:lang w:val="pl-PL"/>
        </w:rPr>
        <w:t>(uchylony).</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58.</w:t>
      </w:r>
      <w:r>
        <w:rPr>
          <w:rFonts w:ascii="Times New Roman"/>
          <w:b/>
          <w:i w:val="false"/>
          <w:color w:val="000000"/>
          <w:sz w:val="24"/>
          <w:lang w:val="pl-PL"/>
        </w:rPr>
        <w:t xml:space="preserve"> [Obowiązek wskazania źródła dochodów]</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Uchwały i zarządzenia organów gminy dotyczące zobowiązań finansowych wskazują źródła, z których zobowiązania te zostaną pokryte.</w:t>
      </w: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Uchwały rady gminy, o których mowa w ust. 1, zapadają bezwzględną większością głosów w obecności co najmniej połowy ustawowego składu rady.</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59.</w:t>
      </w:r>
      <w:r>
        <w:rPr>
          <w:rFonts w:ascii="Times New Roman"/>
          <w:b/>
          <w:i w:val="false"/>
          <w:color w:val="000000"/>
          <w:sz w:val="24"/>
          <w:lang w:val="pl-PL"/>
        </w:rPr>
        <w:t xml:space="preserve"> [Oddzielenie dyspozycji środkami pieniężnymi gminy od jej kasowego wykonania]</w:t>
      </w:r>
    </w:p>
    <w:p>
      <w:pPr>
        <w:spacing w:after="0"/>
        <w:ind w:left="0"/>
        <w:jc w:val="left"/>
        <w:textAlignment w:val="auto"/>
      </w:pPr>
      <w:r>
        <w:rPr>
          <w:rFonts w:ascii="Times New Roman"/>
          <w:b w:val="false"/>
          <w:i w:val="false"/>
          <w:color w:val="000000"/>
          <w:sz w:val="24"/>
          <w:lang w:val="pl-PL"/>
        </w:rPr>
        <w:t xml:space="preserve"> </w:t>
      </w:r>
      <w:r>
        <w:rPr>
          <w:rFonts w:ascii="Times New Roman"/>
          <w:b/>
          <w:i w:val="false"/>
          <w:color w:val="000000"/>
          <w:sz w:val="24"/>
          <w:lang w:val="pl-PL"/>
        </w:rPr>
        <w:t> </w:t>
      </w:r>
      <w:r>
        <w:rPr>
          <w:rFonts w:ascii="Times New Roman"/>
          <w:b w:val="false"/>
          <w:i w:val="false"/>
          <w:color w:val="000000"/>
          <w:sz w:val="24"/>
          <w:lang w:val="pl-PL"/>
        </w:rPr>
        <w:t>Dyspozycja środkami pieniężnymi gminy jest oddzielona od kasowego jej wykonania.</w:t>
      </w: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(uchylony).</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60.</w:t>
      </w:r>
      <w:r>
        <w:rPr>
          <w:rFonts w:ascii="Times New Roman"/>
          <w:b/>
          <w:i w:val="false"/>
          <w:color w:val="000000"/>
          <w:sz w:val="24"/>
          <w:lang w:val="pl-PL"/>
        </w:rPr>
        <w:t xml:space="preserve"> [Odpowiedzialność i uprawnienia wójta w zakresie gospodarki finansowej]</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Za prawidłową gospodarkę finansową gminy odpowiada wójt.</w:t>
      </w: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Wójtowi przysługuje wyłączne prawo:</w:t>
      </w:r>
    </w:p>
    <w:p>
      <w:pPr>
        <w:spacing w:before="26" w:after="0"/>
        <w:ind w:left="373"/>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xml:space="preserve"> zaciągania zobowiązań mających pokrycie w ustalonych w uchwale budżetowej kwotach wydatków, w ramach upoważnień udzielonych przez radę gminy;</w:t>
      </w:r>
    </w:p>
    <w:p>
      <w:pPr>
        <w:spacing w:before="26" w:after="0"/>
        <w:ind w:left="373"/>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xml:space="preserve"> emitowania papierów wartościowych, w ramach upoważnień udzielonych przez radę gminy;</w:t>
      </w:r>
    </w:p>
    <w:p>
      <w:pPr>
        <w:spacing w:before="26" w:after="0"/>
        <w:ind w:left="373"/>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xml:space="preserve"> dokonywania wydatków budżetowych;</w:t>
      </w:r>
    </w:p>
    <w:p>
      <w:pPr>
        <w:spacing w:before="26" w:after="0"/>
        <w:ind w:left="373"/>
        <w:jc w:val="left"/>
        <w:textAlignment w:val="auto"/>
      </w:pPr>
      <w:r>
        <w:rPr>
          <w:rFonts w:ascii="Times New Roman"/>
          <w:b w:val="false"/>
          <w:i w:val="false"/>
          <w:color w:val="000000"/>
          <w:sz w:val="24"/>
          <w:lang w:val="pl-PL"/>
        </w:rPr>
        <w:t>4)</w:t>
      </w:r>
      <w:r>
        <w:rPr>
          <w:rFonts w:ascii="Times New Roman"/>
          <w:b w:val="false"/>
          <w:i w:val="false"/>
          <w:color w:val="000000"/>
          <w:sz w:val="24"/>
          <w:lang w:val="pl-PL"/>
        </w:rPr>
        <w:t xml:space="preserve"> zgłaszania propozycji zmian w budżecie gminy;</w:t>
      </w:r>
    </w:p>
    <w:p>
      <w:pPr>
        <w:spacing w:before="26" w:after="0"/>
        <w:ind w:left="373"/>
        <w:jc w:val="left"/>
        <w:textAlignment w:val="auto"/>
      </w:pPr>
      <w:r>
        <w:rPr>
          <w:rFonts w:ascii="Times New Roman"/>
          <w:b w:val="false"/>
          <w:i w:val="false"/>
          <w:color w:val="000000"/>
          <w:sz w:val="24"/>
          <w:lang w:val="pl-PL"/>
        </w:rPr>
        <w:t>5)</w:t>
      </w:r>
      <w:r>
        <w:rPr>
          <w:rFonts w:ascii="Times New Roman"/>
          <w:b w:val="false"/>
          <w:i w:val="false"/>
          <w:color w:val="000000"/>
          <w:sz w:val="24"/>
          <w:lang w:val="pl-PL"/>
        </w:rPr>
        <w:t xml:space="preserve"> dysponowania rezerwami budżetu gminy;</w:t>
      </w:r>
    </w:p>
    <w:p>
      <w:pPr>
        <w:spacing w:before="26" w:after="0"/>
        <w:ind w:left="373"/>
        <w:jc w:val="left"/>
        <w:textAlignment w:val="auto"/>
      </w:pPr>
      <w:r>
        <w:rPr>
          <w:rFonts w:ascii="Times New Roman"/>
          <w:b w:val="false"/>
          <w:i w:val="false"/>
          <w:color w:val="000000"/>
          <w:sz w:val="24"/>
          <w:lang w:val="pl-PL"/>
        </w:rPr>
        <w:t>6)</w:t>
      </w:r>
      <w:r>
        <w:rPr>
          <w:rFonts w:ascii="Times New Roman"/>
          <w:b w:val="false"/>
          <w:i w:val="false"/>
          <w:color w:val="000000"/>
          <w:sz w:val="24"/>
          <w:lang w:val="pl-PL"/>
        </w:rPr>
        <w:t xml:space="preserve"> blokowania środków budżetowych, w przypadkach określonych </w:t>
      </w:r>
      <w:r>
        <w:rPr>
          <w:rFonts w:ascii="Times New Roman"/>
          <w:b w:val="false"/>
          <w:i w:val="false"/>
          <w:color w:val="1b1b1b"/>
          <w:sz w:val="24"/>
          <w:lang w:val="pl-PL"/>
        </w:rPr>
        <w:t>ustawą</w:t>
      </w:r>
      <w:r>
        <w:rPr>
          <w:rFonts w:ascii="Times New Roman"/>
          <w:b w:val="false"/>
          <w:i w:val="false"/>
          <w:color w:val="000000"/>
          <w:sz w:val="24"/>
          <w:lang w:val="pl-PL"/>
        </w:rPr>
        <w:t>.</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61.</w:t>
      </w:r>
      <w:r>
        <w:rPr>
          <w:rFonts w:ascii="Times New Roman"/>
          <w:b/>
          <w:i w:val="false"/>
          <w:color w:val="000000"/>
          <w:sz w:val="24"/>
          <w:lang w:val="pl-PL"/>
        </w:rPr>
        <w:t xml:space="preserve"> [Jawność gospodarki finansowej]</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Gospodarka finansowa gminy jest jawna.</w:t>
      </w: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Wójt niezwłocznie ogłasza uchwałę budżetową i sprawozdanie z jej wykonania w trybie przewidzianym dla aktów prawa miejscowego.</w:t>
      </w:r>
    </w:p>
    <w:p>
      <w:pPr>
        <w:spacing w:before="26" w:after="0"/>
        <w:ind w:left="0"/>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Wójt informuje mieszkańców gminy o założeniach projektu budżetu, kierunkach polityki społecznej i gospodarczej oraz wykorzystywaniu środków budżetowych.</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62.</w:t>
      </w:r>
      <w:r>
        <w:rPr>
          <w:rFonts w:ascii="Times New Roman"/>
          <w:b/>
          <w:i w:val="false"/>
          <w:color w:val="000000"/>
          <w:sz w:val="24"/>
          <w:lang w:val="pl-PL"/>
        </w:rPr>
        <w:t xml:space="preserve"> [RIO jako organ kontrolny]</w:t>
      </w:r>
    </w:p>
    <w:p>
      <w:pPr>
        <w:spacing w:after="0"/>
        <w:ind w:left="0"/>
        <w:jc w:val="left"/>
        <w:textAlignment w:val="auto"/>
      </w:pPr>
      <w:r>
        <w:rPr>
          <w:rFonts w:ascii="Times New Roman"/>
          <w:b w:val="false"/>
          <w:i w:val="false"/>
          <w:color w:val="000000"/>
          <w:sz w:val="24"/>
          <w:lang w:val="pl-PL"/>
        </w:rPr>
        <w:t xml:space="preserve"> </w:t>
      </w:r>
      <w:r>
        <w:rPr>
          <w:rFonts w:ascii="Times New Roman"/>
          <w:b/>
          <w:i w:val="false"/>
          <w:color w:val="000000"/>
          <w:sz w:val="24"/>
          <w:lang w:val="pl-PL"/>
        </w:rPr>
        <w:t> </w:t>
      </w:r>
      <w:r>
        <w:rPr>
          <w:rFonts w:ascii="Times New Roman"/>
          <w:b w:val="false"/>
          <w:i w:val="false"/>
          <w:color w:val="000000"/>
          <w:sz w:val="24"/>
          <w:lang w:val="pl-PL"/>
        </w:rPr>
        <w:t>Kontrolę gospodarki finansowej gmin i związków sprawują regionalne izby obrachunkowe.</w:t>
      </w: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(uchylony).</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63.</w:t>
      </w:r>
    </w:p>
    <w:p>
      <w:pPr>
        <w:spacing w:after="0"/>
        <w:ind w:left="0"/>
        <w:jc w:val="left"/>
        <w:textAlignment w:val="auto"/>
      </w:pPr>
      <w:r>
        <w:rPr>
          <w:rFonts w:ascii="Times New Roman"/>
          <w:b w:val="false"/>
          <w:i w:val="false"/>
          <w:color w:val="000000"/>
          <w:sz w:val="24"/>
          <w:lang w:val="pl-PL"/>
        </w:rPr>
        <w:t> (uchylony).</w:t>
      </w:r>
    </w:p>
    <w:p>
      <w:pPr>
        <w:spacing w:after="0"/>
        <w:ind w:left="0"/>
        <w:jc w:val="left"/>
        <w:textAlignment w:val="auto"/>
      </w:pPr>
    </w:p>
    <w:p>
      <w:pPr>
        <w:spacing w:before="89" w:after="0"/>
        <w:ind w:left="0"/>
        <w:jc w:val="center"/>
        <w:textAlignment w:val="auto"/>
      </w:pPr>
      <w:r>
        <w:rPr>
          <w:rFonts w:ascii="Times New Roman"/>
          <w:b/>
          <w:i w:val="false"/>
          <w:color w:val="000000"/>
          <w:sz w:val="24"/>
          <w:lang w:val="pl-PL"/>
        </w:rPr>
        <w:t>Rozdział  7</w:t>
      </w:r>
    </w:p>
    <w:p>
      <w:pPr>
        <w:spacing w:before="25" w:after="0"/>
        <w:ind w:left="0"/>
        <w:jc w:val="center"/>
        <w:textAlignment w:val="auto"/>
      </w:pPr>
      <w:r>
        <w:rPr>
          <w:rFonts w:ascii="Times New Roman"/>
          <w:b/>
          <w:i w:val="false"/>
          <w:color w:val="000000"/>
          <w:sz w:val="24"/>
          <w:lang w:val="pl-PL"/>
        </w:rPr>
        <w:t>Związki i porozumienia międzygminne</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64.</w:t>
      </w:r>
      <w:r>
        <w:rPr>
          <w:rFonts w:ascii="Times New Roman"/>
          <w:b/>
          <w:i w:val="false"/>
          <w:color w:val="000000"/>
          <w:sz w:val="24"/>
          <w:lang w:val="pl-PL"/>
        </w:rPr>
        <w:t xml:space="preserve"> [Utworzenie związku międzygminnego]</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W celu wspólnego wykonywania zadań publicznych gminy mogą tworzyć związki międzygminne. Związek międzygminny może być tworzony również w celu wspólnej obsługi, o której mowa w art. 10a.</w:t>
      </w: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Uchwały o utworzeniu związku podejmują rady zainteresowanych gmin.</w:t>
      </w:r>
    </w:p>
    <w:p>
      <w:pPr>
        <w:spacing w:before="26" w:after="0"/>
        <w:ind w:left="0"/>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Prawa i obowiązki gmin uczestniczących w związku międzygminnym, związane z wykonywaniem zadań przekazanych związkowi, przechodzą na związek z dniem ogłoszenia statutu związku.</w:t>
      </w:r>
    </w:p>
    <w:p>
      <w:pPr>
        <w:spacing w:before="26" w:after="0"/>
        <w:ind w:left="0"/>
        <w:jc w:val="left"/>
        <w:textAlignment w:val="auto"/>
      </w:pPr>
      <w:r>
        <w:rPr>
          <w:rFonts w:ascii="Times New Roman"/>
          <w:b w:val="false"/>
          <w:i w:val="false"/>
          <w:color w:val="000000"/>
          <w:sz w:val="24"/>
          <w:lang w:val="pl-PL"/>
        </w:rPr>
        <w:t>4.</w:t>
      </w:r>
      <w:r>
        <w:rPr>
          <w:rFonts w:ascii="Times New Roman"/>
          <w:b w:val="false"/>
          <w:i w:val="false"/>
          <w:color w:val="000000"/>
          <w:sz w:val="24"/>
          <w:lang w:val="pl-PL"/>
        </w:rPr>
        <w:t> Obowiązek utworzenia związku może być nałożony tylko w drodze ustawy, która określa zadania związku i tryb zatwierdzenia jego statutu.</w:t>
      </w:r>
    </w:p>
    <w:p>
      <w:pPr>
        <w:spacing w:before="26" w:after="0"/>
        <w:ind w:left="0"/>
        <w:jc w:val="left"/>
        <w:textAlignment w:val="auto"/>
      </w:pPr>
      <w:r>
        <w:rPr>
          <w:rFonts w:ascii="Times New Roman"/>
          <w:b w:val="false"/>
          <w:i w:val="false"/>
          <w:color w:val="000000"/>
          <w:sz w:val="24"/>
          <w:lang w:val="pl-PL"/>
        </w:rPr>
        <w:t>5.</w:t>
      </w:r>
      <w:r>
        <w:rPr>
          <w:rFonts w:ascii="Times New Roman"/>
          <w:b w:val="false"/>
          <w:i w:val="false"/>
          <w:color w:val="000000"/>
          <w:sz w:val="24"/>
          <w:lang w:val="pl-PL"/>
        </w:rPr>
        <w:t> Do związków międzygminnych stosuje się odpowiednio art. 8 ust. 2-5 i art. 39 ust. 4.</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65.</w:t>
      </w:r>
      <w:r>
        <w:rPr>
          <w:rFonts w:ascii="Times New Roman"/>
          <w:b/>
          <w:i w:val="false"/>
          <w:color w:val="000000"/>
          <w:sz w:val="24"/>
          <w:lang w:val="pl-PL"/>
        </w:rPr>
        <w:t xml:space="preserve"> [Podmiotowość i samodzielność związku międzygminnego]</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Związek wykonuje zadania publiczne w imieniu własnym i na własną odpowiedzialność.</w:t>
      </w: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Związek posiada osobowość prawną.</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66.</w:t>
      </w:r>
      <w:r>
        <w:rPr>
          <w:rFonts w:ascii="Times New Roman"/>
          <w:b/>
          <w:i w:val="false"/>
          <w:color w:val="000000"/>
          <w:sz w:val="24"/>
          <w:lang w:val="pl-PL"/>
        </w:rPr>
        <w:t xml:space="preserve"> [Informacja o zamiarze przystąpienia do związku międzygminnego]</w:t>
      </w:r>
    </w:p>
    <w:p>
      <w:pPr>
        <w:spacing w:after="0"/>
        <w:ind w:left="0"/>
        <w:jc w:val="left"/>
        <w:textAlignment w:val="auto"/>
      </w:pPr>
      <w:r>
        <w:rPr>
          <w:rFonts w:ascii="Times New Roman"/>
          <w:b w:val="false"/>
          <w:i w:val="false"/>
          <w:color w:val="000000"/>
          <w:sz w:val="24"/>
          <w:lang w:val="pl-PL"/>
        </w:rPr>
        <w:t xml:space="preserve"> </w:t>
      </w:r>
      <w:r>
        <w:rPr>
          <w:rFonts w:ascii="Times New Roman"/>
          <w:b/>
          <w:i w:val="false"/>
          <w:color w:val="000000"/>
          <w:sz w:val="24"/>
          <w:lang w:val="pl-PL"/>
        </w:rPr>
        <w:t> </w:t>
      </w:r>
      <w:r>
        <w:rPr>
          <w:rFonts w:ascii="Times New Roman"/>
          <w:b w:val="false"/>
          <w:i w:val="false"/>
          <w:color w:val="000000"/>
          <w:sz w:val="24"/>
          <w:lang w:val="pl-PL"/>
        </w:rPr>
        <w:t>Gmina informuje wojewodę o zamiarze przystąpienia do związku.</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67.</w:t>
      </w:r>
      <w:r>
        <w:rPr>
          <w:rFonts w:ascii="Times New Roman"/>
          <w:b/>
          <w:i w:val="false"/>
          <w:color w:val="000000"/>
          <w:sz w:val="24"/>
          <w:lang w:val="pl-PL"/>
        </w:rPr>
        <w:t xml:space="preserve"> [Statut związku międzygminnego]</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Utworzenie związku oraz przystąpienie gminy do związku wymagają przyjęcia jego statutu bezwzględną większością głosów ustawowego składu rady odpowiednio przez rady zainteresowanych gmin albo radę zainteresowanej gminy.</w:t>
      </w:r>
    </w:p>
    <w:p>
      <w:pPr>
        <w:spacing w:before="26" w:after="0"/>
        <w:ind w:left="0"/>
        <w:jc w:val="left"/>
        <w:textAlignment w:val="auto"/>
      </w:pPr>
      <w:r>
        <w:rPr>
          <w:rFonts w:ascii="Times New Roman"/>
          <w:b w:val="false"/>
          <w:i w:val="false"/>
          <w:color w:val="000000"/>
          <w:sz w:val="24"/>
          <w:lang w:val="pl-PL"/>
        </w:rPr>
        <w:t>1a.</w:t>
      </w:r>
      <w:r>
        <w:rPr>
          <w:rFonts w:ascii="Times New Roman"/>
          <w:b w:val="false"/>
          <w:i w:val="false"/>
          <w:color w:val="000000"/>
          <w:sz w:val="24"/>
          <w:lang w:val="pl-PL"/>
        </w:rPr>
        <w:t> Projekt statutu związku podlega uzgodnieniu z wojewodą.</w:t>
      </w:r>
    </w:p>
    <w:p>
      <w:pPr>
        <w:spacing w:before="26" w:after="0"/>
        <w:ind w:left="0"/>
        <w:jc w:val="left"/>
        <w:textAlignment w:val="auto"/>
      </w:pPr>
      <w:r>
        <w:rPr>
          <w:rFonts w:ascii="Times New Roman"/>
          <w:b w:val="false"/>
          <w:i w:val="false"/>
          <w:color w:val="000000"/>
          <w:sz w:val="24"/>
          <w:lang w:val="pl-PL"/>
        </w:rPr>
        <w:t>1b.</w:t>
      </w:r>
      <w:r>
        <w:rPr>
          <w:rFonts w:ascii="Times New Roman"/>
          <w:b w:val="false"/>
          <w:i w:val="false"/>
          <w:color w:val="000000"/>
          <w:sz w:val="24"/>
          <w:lang w:val="pl-PL"/>
        </w:rPr>
        <w:t> Zajęcie stanowiska przez wojewodę następuje w terminie 30 dni od dnia doręczenia projektu statutu. Przepisy art. 89 ust. 2 i art. 98 stosuje się odpowiednio.</w:t>
      </w:r>
    </w:p>
    <w:p>
      <w:pPr>
        <w:spacing w:before="26" w:after="0"/>
        <w:ind w:left="0"/>
        <w:jc w:val="left"/>
        <w:textAlignment w:val="auto"/>
      </w:pPr>
      <w:r>
        <w:rPr>
          <w:rFonts w:ascii="Times New Roman"/>
          <w:b w:val="false"/>
          <w:i w:val="false"/>
          <w:color w:val="000000"/>
          <w:sz w:val="24"/>
          <w:lang w:val="pl-PL"/>
        </w:rPr>
        <w:t>1c.</w:t>
      </w:r>
      <w:r>
        <w:rPr>
          <w:rFonts w:ascii="Times New Roman"/>
          <w:b w:val="false"/>
          <w:i w:val="false"/>
          <w:color w:val="000000"/>
          <w:sz w:val="24"/>
          <w:lang w:val="pl-PL"/>
        </w:rPr>
        <w:t> W postępowaniu w sprawie uzgodnienia projektu statutu związku gminy zamierzające utworzyć związek reprezentuje wójt jednej z gmin upoważniony przez wójtów pozostałych gmin.</w:t>
      </w: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Statut związku powinien określać:</w:t>
      </w:r>
    </w:p>
    <w:p>
      <w:pPr>
        <w:spacing w:before="26" w:after="0"/>
        <w:ind w:left="373"/>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xml:space="preserve"> nazwę i siedzibę związku;</w:t>
      </w:r>
    </w:p>
    <w:p>
      <w:pPr>
        <w:spacing w:before="26" w:after="0"/>
        <w:ind w:left="373"/>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xml:space="preserve"> uczestników i czas trwania związku;</w:t>
      </w:r>
    </w:p>
    <w:p>
      <w:pPr>
        <w:spacing w:before="26" w:after="0"/>
        <w:ind w:left="373"/>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xml:space="preserve"> zadania związku;</w:t>
      </w:r>
    </w:p>
    <w:p>
      <w:pPr>
        <w:spacing w:before="26" w:after="0"/>
        <w:ind w:left="373"/>
        <w:jc w:val="left"/>
        <w:textAlignment w:val="auto"/>
      </w:pPr>
      <w:r>
        <w:rPr>
          <w:rFonts w:ascii="Times New Roman"/>
          <w:b w:val="false"/>
          <w:i w:val="false"/>
          <w:color w:val="000000"/>
          <w:sz w:val="24"/>
          <w:lang w:val="pl-PL"/>
        </w:rPr>
        <w:t>4)</w:t>
      </w:r>
      <w:r>
        <w:rPr>
          <w:rFonts w:ascii="Times New Roman"/>
          <w:b w:val="false"/>
          <w:i w:val="false"/>
          <w:color w:val="000000"/>
          <w:sz w:val="24"/>
          <w:lang w:val="pl-PL"/>
        </w:rPr>
        <w:t xml:space="preserve"> organy związku, ich strukturę, zakres i tryb działania;</w:t>
      </w:r>
    </w:p>
    <w:p>
      <w:pPr>
        <w:spacing w:before="26" w:after="0"/>
        <w:ind w:left="373"/>
        <w:jc w:val="left"/>
        <w:textAlignment w:val="auto"/>
      </w:pPr>
      <w:r>
        <w:rPr>
          <w:rFonts w:ascii="Times New Roman"/>
          <w:b w:val="false"/>
          <w:i w:val="false"/>
          <w:color w:val="000000"/>
          <w:sz w:val="24"/>
          <w:lang w:val="pl-PL"/>
        </w:rPr>
        <w:t>5)</w:t>
      </w:r>
      <w:r>
        <w:rPr>
          <w:rFonts w:ascii="Times New Roman"/>
          <w:b w:val="false"/>
          <w:i w:val="false"/>
          <w:color w:val="000000"/>
          <w:sz w:val="24"/>
          <w:lang w:val="pl-PL"/>
        </w:rPr>
        <w:t xml:space="preserve"> zasady korzystania z obiektów i urządzeń związku;</w:t>
      </w:r>
    </w:p>
    <w:p>
      <w:pPr>
        <w:spacing w:before="26" w:after="0"/>
        <w:ind w:left="373"/>
        <w:jc w:val="left"/>
        <w:textAlignment w:val="auto"/>
      </w:pPr>
      <w:r>
        <w:rPr>
          <w:rFonts w:ascii="Times New Roman"/>
          <w:b w:val="false"/>
          <w:i w:val="false"/>
          <w:color w:val="000000"/>
          <w:sz w:val="24"/>
          <w:lang w:val="pl-PL"/>
        </w:rPr>
        <w:t>6)</w:t>
      </w:r>
      <w:r>
        <w:rPr>
          <w:rFonts w:ascii="Times New Roman"/>
          <w:b w:val="false"/>
          <w:i w:val="false"/>
          <w:color w:val="000000"/>
          <w:sz w:val="24"/>
          <w:lang w:val="pl-PL"/>
        </w:rPr>
        <w:t xml:space="preserve"> zasady udziału w kosztach wspólnej działalności, zyskach i pokrywania strat związku;</w:t>
      </w:r>
    </w:p>
    <w:p>
      <w:pPr>
        <w:spacing w:before="26" w:after="0"/>
        <w:ind w:left="373"/>
        <w:jc w:val="left"/>
        <w:textAlignment w:val="auto"/>
      </w:pPr>
      <w:r>
        <w:rPr>
          <w:rFonts w:ascii="Times New Roman"/>
          <w:b w:val="false"/>
          <w:i w:val="false"/>
          <w:color w:val="000000"/>
          <w:sz w:val="24"/>
          <w:lang w:val="pl-PL"/>
        </w:rPr>
        <w:t>7)</w:t>
      </w:r>
      <w:r>
        <w:rPr>
          <w:rFonts w:ascii="Times New Roman"/>
          <w:b w:val="false"/>
          <w:i w:val="false"/>
          <w:color w:val="000000"/>
          <w:sz w:val="24"/>
          <w:lang w:val="pl-PL"/>
        </w:rPr>
        <w:t xml:space="preserve"> zasady przystępowania i występowania członków oraz zasady rozliczeń majątkowych;</w:t>
      </w:r>
    </w:p>
    <w:p>
      <w:pPr>
        <w:spacing w:before="26" w:after="0"/>
        <w:ind w:left="373"/>
        <w:jc w:val="left"/>
        <w:textAlignment w:val="auto"/>
      </w:pPr>
      <w:r>
        <w:rPr>
          <w:rFonts w:ascii="Times New Roman"/>
          <w:b w:val="false"/>
          <w:i w:val="false"/>
          <w:color w:val="000000"/>
          <w:sz w:val="24"/>
          <w:lang w:val="pl-PL"/>
        </w:rPr>
        <w:t>8)</w:t>
      </w:r>
      <w:r>
        <w:rPr>
          <w:rFonts w:ascii="Times New Roman"/>
          <w:b w:val="false"/>
          <w:i w:val="false"/>
          <w:color w:val="000000"/>
          <w:sz w:val="24"/>
          <w:lang w:val="pl-PL"/>
        </w:rPr>
        <w:t xml:space="preserve"> zasady i tryb likwidacji związku;</w:t>
      </w:r>
    </w:p>
    <w:p>
      <w:pPr>
        <w:spacing w:before="26" w:after="0"/>
        <w:ind w:left="373"/>
        <w:jc w:val="left"/>
        <w:textAlignment w:val="auto"/>
      </w:pPr>
      <w:r>
        <w:rPr>
          <w:rFonts w:ascii="Times New Roman"/>
          <w:b w:val="false"/>
          <w:i w:val="false"/>
          <w:color w:val="000000"/>
          <w:sz w:val="24"/>
          <w:lang w:val="pl-PL"/>
        </w:rPr>
        <w:t>9)</w:t>
      </w:r>
      <w:r>
        <w:rPr>
          <w:rFonts w:ascii="Times New Roman"/>
          <w:b w:val="false"/>
          <w:i w:val="false"/>
          <w:color w:val="000000"/>
          <w:sz w:val="24"/>
          <w:lang w:val="pl-PL"/>
        </w:rPr>
        <w:t xml:space="preserve"> inne zasady określające współdziałanie.</w:t>
      </w:r>
    </w:p>
    <w:p>
      <w:pPr>
        <w:spacing w:before="26" w:after="0"/>
        <w:ind w:left="0"/>
        <w:jc w:val="left"/>
        <w:textAlignment w:val="auto"/>
      </w:pPr>
      <w:r>
        <w:rPr>
          <w:rFonts w:ascii="Times New Roman"/>
          <w:b w:val="false"/>
          <w:i w:val="false"/>
          <w:color w:val="000000"/>
          <w:sz w:val="24"/>
          <w:lang w:val="pl-PL"/>
        </w:rPr>
        <w:t>2a.</w:t>
      </w:r>
      <w:r>
        <w:rPr>
          <w:rFonts w:ascii="Times New Roman"/>
          <w:b w:val="false"/>
          <w:i w:val="false"/>
          <w:color w:val="000000"/>
          <w:sz w:val="24"/>
          <w:lang w:val="pl-PL"/>
        </w:rPr>
        <w:t> Statut związku podlega ogłoszeniu w wojewódzkim dzienniku urzędowym.</w:t>
      </w:r>
    </w:p>
    <w:p>
      <w:pPr>
        <w:spacing w:before="26" w:after="0"/>
        <w:ind w:left="0"/>
        <w:jc w:val="left"/>
        <w:textAlignment w:val="auto"/>
      </w:pPr>
      <w:r>
        <w:rPr>
          <w:rFonts w:ascii="Times New Roman"/>
          <w:b w:val="false"/>
          <w:i w:val="false"/>
          <w:color w:val="000000"/>
          <w:sz w:val="24"/>
          <w:lang w:val="pl-PL"/>
        </w:rPr>
        <w:t>2b.</w:t>
      </w:r>
      <w:r>
        <w:rPr>
          <w:rFonts w:ascii="Times New Roman"/>
          <w:b w:val="false"/>
          <w:i w:val="false"/>
          <w:color w:val="000000"/>
          <w:sz w:val="24"/>
          <w:lang w:val="pl-PL"/>
        </w:rPr>
        <w:t> Związek nabywa osobowość prawną z dniem ogłoszenia statutu.</w:t>
      </w:r>
    </w:p>
    <w:p>
      <w:pPr>
        <w:spacing w:before="26" w:after="0"/>
        <w:ind w:left="0"/>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(uchylony).</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67a.</w:t>
      </w:r>
      <w:r>
        <w:rPr>
          <w:rFonts w:ascii="Times New Roman"/>
          <w:b/>
          <w:i w:val="false"/>
          <w:color w:val="000000"/>
          <w:sz w:val="24"/>
          <w:lang w:val="pl-PL"/>
        </w:rPr>
        <w:t xml:space="preserve"> [Zmiany statutu związku]</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Zmiany statutu związku dokonuje zgromadzenie związku w formie uchwały. Przepisy art. 67 ust. 1a i 1b stosuje się odpowiednio.</w:t>
      </w: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Uchwałę zmieniającą statut związku przewodniczący zgromadzenia związku przekazuje w terminie 7 dni od dnia jej podjęcia radom gmin uczestniczących w związku, a w przypadku gdy uchwała zmieniająca dotyczy przystąpienia do związku nowej gminy - również radzie tej gminy.</w:t>
      </w:r>
    </w:p>
    <w:p>
      <w:pPr>
        <w:spacing w:before="26" w:after="0"/>
        <w:ind w:left="0"/>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Rada gminy może, w formie uchwały, wnieść sprzeciw w stosunku do uchwały zmieniającej statut związku w terminie 30 dni od dnia doręczenia tej uchwały. Wniesienie sprzeciwu wstrzymuje wykonanie uchwały zmieniającej statut związku.</w:t>
      </w:r>
    </w:p>
    <w:p>
      <w:pPr>
        <w:spacing w:before="26" w:after="0"/>
        <w:ind w:left="0"/>
        <w:jc w:val="left"/>
        <w:textAlignment w:val="auto"/>
      </w:pPr>
      <w:r>
        <w:rPr>
          <w:rFonts w:ascii="Times New Roman"/>
          <w:b w:val="false"/>
          <w:i w:val="false"/>
          <w:color w:val="000000"/>
          <w:sz w:val="24"/>
          <w:lang w:val="pl-PL"/>
        </w:rPr>
        <w:t>4.</w:t>
      </w:r>
      <w:r>
        <w:rPr>
          <w:rFonts w:ascii="Times New Roman"/>
          <w:b w:val="false"/>
          <w:i w:val="false"/>
          <w:color w:val="000000"/>
          <w:sz w:val="24"/>
          <w:lang w:val="pl-PL"/>
        </w:rPr>
        <w:t> Zmiana statutu związku podlega ogłoszeniu w wojewódzkim dzienniku urzędowym.</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67b.</w:t>
      </w:r>
      <w:r>
        <w:rPr>
          <w:rFonts w:ascii="Times New Roman"/>
          <w:b/>
          <w:i w:val="false"/>
          <w:color w:val="000000"/>
          <w:sz w:val="24"/>
          <w:lang w:val="pl-PL"/>
        </w:rPr>
        <w:t xml:space="preserve"> [Likwidacja związku]</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Związek podlega likwidacji na zasadach i w trybie określonych w statucie.</w:t>
      </w: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Po zakończeniu likwidacji związek przekazuje wojewodzie informację o zakończeniu likwidacji oraz wniosek o wykreślenie związku z rejestru, o którym mowa w art. 68 ust. 1.</w:t>
      </w:r>
    </w:p>
    <w:p>
      <w:pPr>
        <w:spacing w:before="26" w:after="0"/>
        <w:ind w:left="0"/>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Informacja o wykreśleniu związku z rejestru, o którym mowa w art. 68 ust. 1, podlega ogłoszeniu w wojewódzkim dzienniku urzędowym.</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68.</w:t>
      </w:r>
      <w:r>
        <w:rPr>
          <w:rFonts w:ascii="Times New Roman"/>
          <w:b/>
          <w:i w:val="false"/>
          <w:color w:val="000000"/>
          <w:sz w:val="24"/>
          <w:lang w:val="pl-PL"/>
        </w:rPr>
        <w:t xml:space="preserve"> [Rejestracja związku międzygminnego]</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Rejestr związków prowadzi minister właściwy do spraw administracji publicznej.</w:t>
      </w:r>
    </w:p>
    <w:p>
      <w:pPr>
        <w:spacing w:before="26" w:after="0"/>
        <w:ind w:left="0"/>
        <w:jc w:val="left"/>
        <w:textAlignment w:val="auto"/>
      </w:pPr>
      <w:r>
        <w:rPr>
          <w:rFonts w:ascii="Times New Roman"/>
          <w:b w:val="false"/>
          <w:i w:val="false"/>
          <w:color w:val="000000"/>
          <w:sz w:val="24"/>
          <w:lang w:val="pl-PL"/>
        </w:rPr>
        <w:t>1a.</w:t>
      </w:r>
      <w:r>
        <w:rPr>
          <w:rFonts w:ascii="Times New Roman"/>
          <w:b w:val="false"/>
          <w:i w:val="false"/>
          <w:color w:val="000000"/>
          <w:sz w:val="24"/>
          <w:lang w:val="pl-PL"/>
        </w:rPr>
        <w:t> Wpisu w rejestrze związków międzygminnych dokonuje się na podstawie zgłoszenia wojewody.</w:t>
      </w:r>
    </w:p>
    <w:p>
      <w:pPr>
        <w:spacing w:before="26" w:after="0"/>
        <w:ind w:left="0"/>
        <w:jc w:val="left"/>
        <w:textAlignment w:val="auto"/>
      </w:pPr>
      <w:r>
        <w:rPr>
          <w:rFonts w:ascii="Times New Roman"/>
          <w:b w:val="false"/>
          <w:i w:val="false"/>
          <w:color w:val="000000"/>
          <w:sz w:val="24"/>
          <w:lang w:val="pl-PL"/>
        </w:rPr>
        <w:t>1b.</w:t>
      </w:r>
      <w:r>
        <w:rPr>
          <w:rFonts w:ascii="Times New Roman"/>
          <w:b w:val="false"/>
          <w:i w:val="false"/>
          <w:color w:val="000000"/>
          <w:sz w:val="24"/>
          <w:lang w:val="pl-PL"/>
        </w:rPr>
        <w:t> Zgłoszenie, o którym mowa w ust. 1a, może dotyczyć:</w:t>
      </w:r>
    </w:p>
    <w:p>
      <w:pPr>
        <w:spacing w:before="26" w:after="0"/>
        <w:ind w:left="373"/>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xml:space="preserve"> rejestracji związku międzygminnego;</w:t>
      </w:r>
    </w:p>
    <w:p>
      <w:pPr>
        <w:spacing w:before="26" w:after="0"/>
        <w:ind w:left="373"/>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xml:space="preserve"> zmiany statutu związku międzygminnego;</w:t>
      </w:r>
    </w:p>
    <w:p>
      <w:pPr>
        <w:spacing w:before="26" w:after="0"/>
        <w:ind w:left="373"/>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xml:space="preserve"> wykreślenia związku międzygminnego z rejestru związków międzygminnych.</w:t>
      </w:r>
    </w:p>
    <w:p>
      <w:pPr>
        <w:spacing w:before="26" w:after="0"/>
        <w:ind w:left="0"/>
        <w:jc w:val="left"/>
        <w:textAlignment w:val="auto"/>
      </w:pPr>
      <w:r>
        <w:rPr>
          <w:rFonts w:ascii="Times New Roman"/>
          <w:b w:val="false"/>
          <w:i w:val="false"/>
          <w:color w:val="000000"/>
          <w:sz w:val="24"/>
          <w:lang w:val="pl-PL"/>
        </w:rPr>
        <w:t>1c.</w:t>
      </w:r>
      <w:r>
        <w:rPr>
          <w:rFonts w:ascii="Times New Roman"/>
          <w:b w:val="false"/>
          <w:i w:val="false"/>
          <w:color w:val="000000"/>
          <w:sz w:val="24"/>
          <w:lang w:val="pl-PL"/>
        </w:rPr>
        <w:t> Zgłoszenie, o którym mowa w ust. 1a, zawiera oświadczenie o zgodności z prawem uchwał stanowiących podstawę do dokonania zgłoszenia.</w:t>
      </w:r>
    </w:p>
    <w:p>
      <w:pPr>
        <w:spacing w:before="26" w:after="0"/>
        <w:ind w:left="0"/>
        <w:jc w:val="left"/>
        <w:textAlignment w:val="auto"/>
      </w:pPr>
      <w:r>
        <w:rPr>
          <w:rFonts w:ascii="Times New Roman"/>
          <w:b w:val="false"/>
          <w:i w:val="false"/>
          <w:color w:val="000000"/>
          <w:sz w:val="24"/>
          <w:lang w:val="pl-PL"/>
        </w:rPr>
        <w:t>1d.</w:t>
      </w:r>
      <w:r>
        <w:rPr>
          <w:rFonts w:ascii="Times New Roman"/>
          <w:b w:val="false"/>
          <w:i w:val="false"/>
          <w:color w:val="000000"/>
          <w:sz w:val="24"/>
          <w:lang w:val="pl-PL"/>
        </w:rPr>
        <w:t> Zgłoszenie, o którym mowa w ust. 1a, opatruje się kwalifikowanym podpisem elektronicznym.</w:t>
      </w: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(uchylony).</w:t>
      </w:r>
    </w:p>
    <w:p>
      <w:pPr>
        <w:spacing w:before="26" w:after="0"/>
        <w:ind w:left="0"/>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Minister właściwy do spraw administracji publicznej określi, w drodze rozporządzenia:</w:t>
      </w:r>
    </w:p>
    <w:p>
      <w:pPr>
        <w:spacing w:before="26" w:after="0"/>
        <w:ind w:left="373"/>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xml:space="preserve"> tryb postępowania w sprawach:</w:t>
      </w:r>
    </w:p>
    <w:p>
      <w:pPr>
        <w:spacing w:after="0"/>
        <w:ind w:left="746"/>
        <w:jc w:val="left"/>
        <w:textAlignment w:val="auto"/>
      </w:pPr>
      <w:r>
        <w:rPr>
          <w:rFonts w:ascii="Times New Roman"/>
          <w:b w:val="false"/>
          <w:i w:val="false"/>
          <w:color w:val="000000"/>
          <w:sz w:val="24"/>
          <w:lang w:val="pl-PL"/>
        </w:rPr>
        <w:t>a)</w:t>
      </w:r>
      <w:r>
        <w:rPr>
          <w:rFonts w:ascii="Times New Roman"/>
          <w:b w:val="false"/>
          <w:i w:val="false"/>
          <w:color w:val="000000"/>
          <w:sz w:val="24"/>
          <w:lang w:val="pl-PL"/>
        </w:rPr>
        <w:t xml:space="preserve"> rejestracji związku międzygminnego,</w:t>
      </w:r>
    </w:p>
    <w:p>
      <w:pPr>
        <w:spacing w:after="0"/>
        <w:ind w:left="746"/>
        <w:jc w:val="left"/>
        <w:textAlignment w:val="auto"/>
      </w:pPr>
      <w:r>
        <w:rPr>
          <w:rFonts w:ascii="Times New Roman"/>
          <w:b w:val="false"/>
          <w:i w:val="false"/>
          <w:color w:val="000000"/>
          <w:sz w:val="24"/>
          <w:lang w:val="pl-PL"/>
        </w:rPr>
        <w:t>b)</w:t>
      </w:r>
      <w:r>
        <w:rPr>
          <w:rFonts w:ascii="Times New Roman"/>
          <w:b w:val="false"/>
          <w:i w:val="false"/>
          <w:color w:val="000000"/>
          <w:sz w:val="24"/>
          <w:lang w:val="pl-PL"/>
        </w:rPr>
        <w:t xml:space="preserve"> rejestracji zmiany statutu związku międzygminnego,</w:t>
      </w:r>
    </w:p>
    <w:p>
      <w:pPr>
        <w:spacing w:after="0"/>
        <w:ind w:left="746"/>
        <w:jc w:val="left"/>
        <w:textAlignment w:val="auto"/>
      </w:pPr>
      <w:r>
        <w:rPr>
          <w:rFonts w:ascii="Times New Roman"/>
          <w:b w:val="false"/>
          <w:i w:val="false"/>
          <w:color w:val="000000"/>
          <w:sz w:val="24"/>
          <w:lang w:val="pl-PL"/>
        </w:rPr>
        <w:t>c)</w:t>
      </w:r>
      <w:r>
        <w:rPr>
          <w:rFonts w:ascii="Times New Roman"/>
          <w:b w:val="false"/>
          <w:i w:val="false"/>
          <w:color w:val="000000"/>
          <w:sz w:val="24"/>
          <w:lang w:val="pl-PL"/>
        </w:rPr>
        <w:t xml:space="preserve"> wykreślenia związku międzygminnego z rejestru związków międzygminnych,</w:t>
      </w:r>
    </w:p>
    <w:p>
      <w:pPr>
        <w:spacing w:before="26" w:after="0"/>
        <w:ind w:left="373"/>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xml:space="preserve"> wzór zgłoszenia w sprawie rejestracji związku międzygminnego,</w:t>
      </w:r>
    </w:p>
    <w:p>
      <w:pPr>
        <w:spacing w:before="26" w:after="0"/>
        <w:ind w:left="373"/>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xml:space="preserve"> wzór zgłoszenia w sprawie zmiany statutu związku międzygminnego,</w:t>
      </w:r>
    </w:p>
    <w:p>
      <w:pPr>
        <w:spacing w:before="26" w:after="0"/>
        <w:ind w:left="373"/>
        <w:jc w:val="left"/>
        <w:textAlignment w:val="auto"/>
      </w:pPr>
      <w:r>
        <w:rPr>
          <w:rFonts w:ascii="Times New Roman"/>
          <w:b w:val="false"/>
          <w:i w:val="false"/>
          <w:color w:val="000000"/>
          <w:sz w:val="24"/>
          <w:lang w:val="pl-PL"/>
        </w:rPr>
        <w:t>4)</w:t>
      </w:r>
      <w:r>
        <w:rPr>
          <w:rFonts w:ascii="Times New Roman"/>
          <w:b w:val="false"/>
          <w:i w:val="false"/>
          <w:color w:val="000000"/>
          <w:sz w:val="24"/>
          <w:lang w:val="pl-PL"/>
        </w:rPr>
        <w:t xml:space="preserve"> wzór zgłoszenia w sprawie wykreślenia związku międzygminnego z rejestru związków międzygminnych,</w:t>
      </w:r>
    </w:p>
    <w:p>
      <w:pPr>
        <w:spacing w:before="26" w:after="0"/>
        <w:ind w:left="373"/>
        <w:jc w:val="left"/>
        <w:textAlignment w:val="auto"/>
      </w:pPr>
      <w:r>
        <w:rPr>
          <w:rFonts w:ascii="Times New Roman"/>
          <w:b w:val="false"/>
          <w:i w:val="false"/>
          <w:color w:val="000000"/>
          <w:sz w:val="24"/>
          <w:lang w:val="pl-PL"/>
        </w:rPr>
        <w:t>5)</w:t>
      </w:r>
      <w:r>
        <w:rPr>
          <w:rFonts w:ascii="Times New Roman"/>
          <w:b w:val="false"/>
          <w:i w:val="false"/>
          <w:color w:val="000000"/>
          <w:sz w:val="24"/>
          <w:lang w:val="pl-PL"/>
        </w:rPr>
        <w:t xml:space="preserve"> dokumentację niezbędną do sporządzenia zgłoszeń, o których mowa w pkt 2-4,</w:t>
      </w:r>
    </w:p>
    <w:p>
      <w:pPr>
        <w:spacing w:before="26" w:after="0"/>
        <w:ind w:left="373"/>
        <w:jc w:val="left"/>
        <w:textAlignment w:val="auto"/>
      </w:pPr>
      <w:r>
        <w:rPr>
          <w:rFonts w:ascii="Times New Roman"/>
          <w:b w:val="false"/>
          <w:i w:val="false"/>
          <w:color w:val="000000"/>
          <w:sz w:val="24"/>
          <w:lang w:val="pl-PL"/>
        </w:rPr>
        <w:t>6)</w:t>
      </w:r>
      <w:r>
        <w:rPr>
          <w:rFonts w:ascii="Times New Roman"/>
          <w:b w:val="false"/>
          <w:i w:val="false"/>
          <w:color w:val="000000"/>
          <w:sz w:val="24"/>
          <w:lang w:val="pl-PL"/>
        </w:rPr>
        <w:t xml:space="preserve"> sposób prowadzenia rejestru związków międzygminnych, w tym sposób dokonywania wpisów w tym rejestrze,</w:t>
      </w:r>
    </w:p>
    <w:p>
      <w:pPr>
        <w:spacing w:before="26" w:after="0"/>
        <w:ind w:left="373"/>
        <w:jc w:val="left"/>
        <w:textAlignment w:val="auto"/>
      </w:pPr>
      <w:r>
        <w:rPr>
          <w:rFonts w:ascii="Times New Roman"/>
          <w:b w:val="false"/>
          <w:i w:val="false"/>
          <w:color w:val="000000"/>
          <w:sz w:val="24"/>
          <w:lang w:val="pl-PL"/>
        </w:rPr>
        <w:t>7)</w:t>
      </w:r>
      <w:r>
        <w:rPr>
          <w:rFonts w:ascii="Times New Roman"/>
          <w:b w:val="false"/>
          <w:i w:val="false"/>
          <w:color w:val="000000"/>
          <w:sz w:val="24"/>
          <w:lang w:val="pl-PL"/>
        </w:rPr>
        <w:t xml:space="preserve"> zakres danych podlegających wpisowi do rejestru związków międzygminnych,</w:t>
      </w:r>
    </w:p>
    <w:p>
      <w:pPr>
        <w:spacing w:before="26" w:after="0"/>
        <w:ind w:left="373"/>
        <w:jc w:val="left"/>
        <w:textAlignment w:val="auto"/>
      </w:pPr>
      <w:r>
        <w:rPr>
          <w:rFonts w:ascii="Times New Roman"/>
          <w:b w:val="false"/>
          <w:i w:val="false"/>
          <w:color w:val="000000"/>
          <w:sz w:val="24"/>
          <w:lang w:val="pl-PL"/>
        </w:rPr>
        <w:t>8)</w:t>
      </w:r>
      <w:r>
        <w:rPr>
          <w:rFonts w:ascii="Times New Roman"/>
          <w:b w:val="false"/>
          <w:i w:val="false"/>
          <w:color w:val="000000"/>
          <w:sz w:val="24"/>
          <w:lang w:val="pl-PL"/>
        </w:rPr>
        <w:t xml:space="preserve"> tryb ogłaszania statutu związku międzygminnego, zmiany tego statutu oraz informacji o wykreśleniu związku międzygminnego z rejestru związków międzygminnych</w:t>
      </w:r>
    </w:p>
    <w:p>
      <w:pPr>
        <w:spacing w:before="25" w:after="0"/>
        <w:ind w:left="0"/>
        <w:jc w:val="left"/>
        <w:textAlignment w:val="auto"/>
      </w:pPr>
      <w:r>
        <w:rPr>
          <w:rFonts w:ascii="Times New Roman"/>
          <w:b w:val="false"/>
          <w:i w:val="false"/>
          <w:color w:val="000000"/>
          <w:sz w:val="24"/>
          <w:lang w:val="pl-PL"/>
        </w:rPr>
        <w:t>- mając na uwadze konieczność zapewnienia sprawności postępowania w sprawach dokonywania wpisów w rejestrze związków międzygminnych oraz ogłaszania aktów i informacji, o których mowa w pkt 8, jednolitości zgłoszeń oraz uwzględniając, że rejestr związków międzygminnych powinien zawierać w szczególności nazwę związku międzygminnego i jego siedzibę, oznaczenie gmin uczestniczących w związku oraz wskazanie zadań związku.</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69.</w:t>
      </w:r>
      <w:r>
        <w:rPr>
          <w:rFonts w:ascii="Times New Roman"/>
          <w:b/>
          <w:i w:val="false"/>
          <w:color w:val="000000"/>
          <w:sz w:val="24"/>
          <w:lang w:val="pl-PL"/>
        </w:rPr>
        <w:t xml:space="preserve"> [Zgromadzenie związku międzygminnego]</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Organem stanowiącym i kontrolnym związku jest zgromadzenie związku, zwane dalej zgromadzeniem.</w:t>
      </w: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W zakresie zadań zleconych związkowi zgromadzenie wykonuje kompetencje przysługujące radzie gminy.</w:t>
      </w:r>
    </w:p>
    <w:p>
      <w:pPr>
        <w:spacing w:before="26" w:after="0"/>
        <w:ind w:left="0"/>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Do zgromadzenia związku stosuje się odpowiednio przepisy dotyczące rady gminy.</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70.</w:t>
      </w:r>
      <w:r>
        <w:rPr>
          <w:rFonts w:ascii="Times New Roman"/>
          <w:b/>
          <w:i w:val="false"/>
          <w:color w:val="000000"/>
          <w:sz w:val="24"/>
          <w:lang w:val="pl-PL"/>
        </w:rPr>
        <w:t xml:space="preserve"> [Skład zgromadzenia. Przedstawiciele gminy]</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W skład zgromadzenia wchodzą wójtowie gmin uczestniczących w związku.</w:t>
      </w: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Na wniosek wójta rada gminy może powierzyć reprezentowanie gminy w zgromadzeniu zastępcy wójta albo radnemu.</w:t>
      </w:r>
    </w:p>
    <w:p>
      <w:pPr>
        <w:spacing w:before="26" w:after="0"/>
        <w:ind w:left="0"/>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Statut może przyznawać określonym gminom więcej niż jeden głos w zgromadzeniu. Dodatkowych przedstawicieli wyznacza zainteresowana rada gminy.</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71.</w:t>
      </w:r>
      <w:r>
        <w:rPr>
          <w:rFonts w:ascii="Times New Roman"/>
          <w:b/>
          <w:i w:val="false"/>
          <w:color w:val="000000"/>
          <w:sz w:val="24"/>
          <w:lang w:val="pl-PL"/>
        </w:rPr>
        <w:t xml:space="preserve"> [Podejmowanie uchwał przez zgromadzenie]</w:t>
      </w:r>
    </w:p>
    <w:p>
      <w:pPr>
        <w:spacing w:after="0"/>
        <w:ind w:left="0"/>
        <w:jc w:val="left"/>
        <w:textAlignment w:val="auto"/>
      </w:pPr>
      <w:r>
        <w:rPr>
          <w:rFonts w:ascii="Times New Roman"/>
          <w:b w:val="false"/>
          <w:i w:val="false"/>
          <w:color w:val="000000"/>
          <w:sz w:val="24"/>
          <w:lang w:val="pl-PL"/>
        </w:rPr>
        <w:t xml:space="preserve"> </w:t>
      </w:r>
      <w:r>
        <w:rPr>
          <w:rFonts w:ascii="Times New Roman"/>
          <w:b/>
          <w:i w:val="false"/>
          <w:color w:val="000000"/>
          <w:sz w:val="24"/>
          <w:lang w:val="pl-PL"/>
        </w:rPr>
        <w:t> </w:t>
      </w:r>
      <w:r>
        <w:rPr>
          <w:rFonts w:ascii="Times New Roman"/>
          <w:b w:val="false"/>
          <w:i w:val="false"/>
          <w:color w:val="000000"/>
          <w:sz w:val="24"/>
          <w:lang w:val="pl-PL"/>
        </w:rPr>
        <w:t>Uchwały zgromadzenia są podejmowane bezwzględną większością głosów statutowej liczby członków zgromadzenia.</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72.</w:t>
      </w:r>
      <w:r>
        <w:rPr>
          <w:rFonts w:ascii="Times New Roman"/>
          <w:b/>
          <w:i w:val="false"/>
          <w:color w:val="000000"/>
          <w:sz w:val="24"/>
          <w:lang w:val="pl-PL"/>
        </w:rPr>
        <w:t xml:space="preserve"> [Sprzeciw od uchwały zgromadzenia]</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Członek zgromadzenia może wnieść pisemny sprzeciw w stosunku do uchwały zgromadzenia w ciągu 7 dni od dnia jej podjęcia.</w:t>
      </w: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Wniesienie sprzeciwu wstrzymuje wykonanie uchwały i wymaga ponownego rozpatrzenia sprawy.</w:t>
      </w:r>
    </w:p>
    <w:p>
      <w:pPr>
        <w:spacing w:before="26" w:after="0"/>
        <w:ind w:left="0"/>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Sprzeciw nie może być zgłoszony do uchwały podjętej w wyniku ponownego rozpatrzenia sprawy.</w:t>
      </w:r>
    </w:p>
    <w:p>
      <w:pPr>
        <w:spacing w:before="26" w:after="0"/>
        <w:ind w:left="0"/>
        <w:jc w:val="left"/>
        <w:textAlignment w:val="auto"/>
      </w:pPr>
      <w:r>
        <w:rPr>
          <w:rFonts w:ascii="Times New Roman"/>
          <w:b w:val="false"/>
          <w:i w:val="false"/>
          <w:color w:val="000000"/>
          <w:sz w:val="24"/>
          <w:lang w:val="pl-PL"/>
        </w:rPr>
        <w:t>4.</w:t>
      </w:r>
      <w:r>
        <w:rPr>
          <w:rFonts w:ascii="Times New Roman"/>
          <w:b w:val="false"/>
          <w:i w:val="false"/>
          <w:color w:val="000000"/>
          <w:sz w:val="24"/>
          <w:lang w:val="pl-PL"/>
        </w:rPr>
        <w:t> Przepisów ust. 1-3 nie stosuje się do związków międzygminnych utworzonych na podstawie art. 64 ust. 4.</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73.</w:t>
      </w:r>
      <w:r>
        <w:rPr>
          <w:rFonts w:ascii="Times New Roman"/>
          <w:b/>
          <w:i w:val="false"/>
          <w:color w:val="000000"/>
          <w:sz w:val="24"/>
          <w:lang w:val="pl-PL"/>
        </w:rPr>
        <w:t xml:space="preserve"> [Zarząd związku jako organ wykonawczy]</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Organem wykonawczym związku jest zarząd.</w:t>
      </w: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Zarząd związku jest powoływany i odwoływany przez zgromadzenie spośród jego członków.</w:t>
      </w:r>
    </w:p>
    <w:p>
      <w:pPr>
        <w:spacing w:before="26" w:after="0"/>
        <w:ind w:left="0"/>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O ile statut tak stanowi, dopuszczalny jest wybór członków zarządu spoza członków zgromadzenia w liczbie nieprzekraczającej 1/3 składu zarządu związku.</w:t>
      </w:r>
    </w:p>
    <w:p>
      <w:pPr>
        <w:spacing w:before="26" w:after="0"/>
        <w:ind w:left="0"/>
        <w:jc w:val="left"/>
        <w:textAlignment w:val="auto"/>
      </w:pPr>
      <w:r>
        <w:rPr>
          <w:rFonts w:ascii="Times New Roman"/>
          <w:b w:val="false"/>
          <w:i w:val="false"/>
          <w:color w:val="000000"/>
          <w:sz w:val="24"/>
          <w:lang w:val="pl-PL"/>
        </w:rPr>
        <w:t>4.</w:t>
      </w:r>
      <w:r>
        <w:rPr>
          <w:rFonts w:ascii="Times New Roman"/>
          <w:b w:val="false"/>
          <w:i w:val="false"/>
          <w:color w:val="000000"/>
          <w:sz w:val="24"/>
          <w:lang w:val="pl-PL"/>
        </w:rPr>
        <w:t> (uchylony).</w:t>
      </w:r>
    </w:p>
    <w:p>
      <w:pPr>
        <w:spacing w:before="26" w:after="0"/>
        <w:ind w:left="0"/>
        <w:jc w:val="left"/>
        <w:textAlignment w:val="auto"/>
      </w:pPr>
      <w:r>
        <w:rPr>
          <w:rFonts w:ascii="Times New Roman"/>
          <w:b w:val="false"/>
          <w:i w:val="false"/>
          <w:color w:val="000000"/>
          <w:sz w:val="24"/>
          <w:lang w:val="pl-PL"/>
        </w:rPr>
        <w:t>5.</w:t>
      </w:r>
      <w:r>
        <w:rPr>
          <w:rFonts w:ascii="Times New Roman"/>
          <w:b w:val="false"/>
          <w:i w:val="false"/>
          <w:color w:val="000000"/>
          <w:sz w:val="24"/>
          <w:lang w:val="pl-PL"/>
        </w:rPr>
        <w:t> (uchylony).</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73a.</w:t>
      </w:r>
      <w:r>
        <w:rPr>
          <w:rFonts w:ascii="Times New Roman"/>
          <w:b/>
          <w:i w:val="false"/>
          <w:color w:val="000000"/>
          <w:sz w:val="24"/>
          <w:lang w:val="pl-PL"/>
        </w:rPr>
        <w:t xml:space="preserve"> [Gospodarka finansowa związku międzygminnego]</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xml:space="preserve"> Do gospodarki finansowej związku międzygminnego stosuje się odpowiednio </w:t>
      </w:r>
      <w:r>
        <w:rPr>
          <w:rFonts w:ascii="Times New Roman"/>
          <w:b w:val="false"/>
          <w:i w:val="false"/>
          <w:color w:val="1b1b1b"/>
          <w:sz w:val="24"/>
          <w:lang w:val="pl-PL"/>
        </w:rPr>
        <w:t>przepisy</w:t>
      </w:r>
      <w:r>
        <w:rPr>
          <w:rFonts w:ascii="Times New Roman"/>
          <w:b w:val="false"/>
          <w:i w:val="false"/>
          <w:color w:val="000000"/>
          <w:sz w:val="24"/>
          <w:lang w:val="pl-PL"/>
        </w:rPr>
        <w:t xml:space="preserve"> o gospodarce finansowej gmin.</w:t>
      </w: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Plan finansowy związku uchwala zgromadzenie związku.</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73b.</w:t>
      </w:r>
      <w:r>
        <w:rPr>
          <w:rFonts w:ascii="Times New Roman"/>
          <w:b/>
          <w:i w:val="false"/>
          <w:color w:val="000000"/>
          <w:sz w:val="24"/>
          <w:lang w:val="pl-PL"/>
        </w:rPr>
        <w:t xml:space="preserve"> [Przekształcenie związku międzygminnego w związek powiatowo-gminny]</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xml:space="preserve"> Do związku międzygminnego może przystąpić powiat. W takim przypadku następuje przekształcenie związku międzygminnego w związek powiatowo-gminny, o którym mowa w </w:t>
      </w:r>
      <w:r>
        <w:rPr>
          <w:rFonts w:ascii="Times New Roman"/>
          <w:b w:val="false"/>
          <w:i w:val="false"/>
          <w:color w:val="1b1b1b"/>
          <w:sz w:val="24"/>
          <w:lang w:val="pl-PL"/>
        </w:rPr>
        <w:t>art. 72a ust. 1</w:t>
      </w:r>
      <w:r>
        <w:rPr>
          <w:rFonts w:ascii="Times New Roman"/>
          <w:b w:val="false"/>
          <w:i w:val="false"/>
          <w:color w:val="000000"/>
          <w:sz w:val="24"/>
          <w:lang w:val="pl-PL"/>
        </w:rPr>
        <w:t xml:space="preserve"> ustawy z dnia 5 czerwca 1998 r. o samorządzie powiatowym.</w:t>
      </w: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xml:space="preserve"> Do przekształcenia, o którym mowa w ust. 1, przepisy </w:t>
      </w:r>
      <w:r>
        <w:rPr>
          <w:rFonts w:ascii="Times New Roman"/>
          <w:b w:val="false"/>
          <w:i w:val="false"/>
          <w:color w:val="1b1b1b"/>
          <w:sz w:val="24"/>
          <w:lang w:val="pl-PL"/>
        </w:rPr>
        <w:t>art. 72c</w:t>
      </w:r>
      <w:r>
        <w:rPr>
          <w:rFonts w:ascii="Times New Roman"/>
          <w:b w:val="false"/>
          <w:i w:val="false"/>
          <w:color w:val="000000"/>
          <w:sz w:val="24"/>
          <w:lang w:val="pl-PL"/>
        </w:rPr>
        <w:t xml:space="preserve"> ustawy z dnia 5 czerwca 1998 r. o samorządzie powiatowym stosuje się odpowiednio.</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74.</w:t>
      </w:r>
      <w:r>
        <w:rPr>
          <w:rFonts w:ascii="Times New Roman"/>
          <w:b/>
          <w:i w:val="false"/>
          <w:color w:val="000000"/>
          <w:sz w:val="24"/>
          <w:lang w:val="pl-PL"/>
        </w:rPr>
        <w:t xml:space="preserve"> [Porozumienia międzygminne]</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Gminy mogą zawierać porozumienia międzygminne w sprawie powierzenia jednej z nich określonych przez nie zadań publicznych.</w:t>
      </w: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Gmina wykonująca zadania publiczne objęte porozumieniem przejmuje prawa i obowiązki pozostałych gmin, związane z powierzonymi jej zadaniami, a gminy te mają obowiązek udziału w kosztach realizacji powierzonego zadania.</w:t>
      </w:r>
    </w:p>
    <w:p>
      <w:pPr>
        <w:spacing w:before="26" w:after="0"/>
        <w:ind w:left="0"/>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Stroną porozumienia międzygminnego, o którym mowa w art. 10g ust. 4, może być również powiat.</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75.</w:t>
      </w:r>
    </w:p>
    <w:p>
      <w:pPr>
        <w:spacing w:after="0"/>
        <w:ind w:left="0"/>
        <w:jc w:val="left"/>
        <w:textAlignment w:val="auto"/>
      </w:pPr>
      <w:r>
        <w:rPr>
          <w:rFonts w:ascii="Times New Roman"/>
          <w:b w:val="false"/>
          <w:i w:val="false"/>
          <w:color w:val="000000"/>
          <w:sz w:val="24"/>
          <w:lang w:val="pl-PL"/>
        </w:rPr>
        <w:t xml:space="preserve"> </w:t>
      </w:r>
      <w:r>
        <w:rPr>
          <w:rFonts w:ascii="Times New Roman"/>
          <w:b/>
          <w:i w:val="false"/>
          <w:color w:val="000000"/>
          <w:sz w:val="24"/>
          <w:lang w:val="pl-PL"/>
        </w:rPr>
        <w:t> </w:t>
      </w:r>
      <w:r>
        <w:rPr>
          <w:rFonts w:ascii="Times New Roman"/>
          <w:b w:val="false"/>
          <w:i w:val="false"/>
          <w:color w:val="000000"/>
          <w:sz w:val="24"/>
          <w:lang w:val="pl-PL"/>
        </w:rPr>
        <w:t>(uchylony).</w:t>
      </w:r>
    </w:p>
    <w:p>
      <w:pPr>
        <w:spacing w:after="0"/>
        <w:ind w:left="0"/>
        <w:jc w:val="left"/>
        <w:textAlignment w:val="auto"/>
      </w:pPr>
    </w:p>
    <w:p>
      <w:pPr>
        <w:spacing w:before="236" w:after="0"/>
        <w:ind w:left="0"/>
        <w:jc w:val="center"/>
        <w:textAlignment w:val="auto"/>
      </w:pPr>
      <w:r>
        <w:rPr>
          <w:rFonts w:ascii="Times New Roman"/>
          <w:b/>
          <w:i w:val="false"/>
          <w:color w:val="000000"/>
          <w:sz w:val="24"/>
          <w:lang w:val="pl-PL"/>
        </w:rPr>
        <w:t>Rozdział  8</w:t>
      </w:r>
    </w:p>
    <w:p>
      <w:pPr>
        <w:spacing w:after="0"/>
        <w:ind w:left="0"/>
        <w:jc w:val="center"/>
        <w:textAlignment w:val="auto"/>
      </w:pPr>
      <w:r>
        <w:rPr>
          <w:rFonts w:ascii="Times New Roman"/>
          <w:b w:val="false"/>
          <w:i w:val="false"/>
          <w:color w:val="000000"/>
          <w:sz w:val="24"/>
          <w:lang w:val="pl-PL"/>
        </w:rPr>
        <w:t>(uchylony).</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76.</w:t>
      </w:r>
    </w:p>
    <w:p>
      <w:pPr>
        <w:spacing w:after="0"/>
        <w:ind w:left="0"/>
        <w:jc w:val="left"/>
        <w:textAlignment w:val="auto"/>
      </w:pPr>
      <w:r>
        <w:rPr>
          <w:rFonts w:ascii="Times New Roman"/>
          <w:b w:val="false"/>
          <w:i w:val="false"/>
          <w:color w:val="000000"/>
          <w:sz w:val="24"/>
          <w:lang w:val="pl-PL"/>
        </w:rPr>
        <w:t xml:space="preserve"> </w:t>
      </w:r>
      <w:r>
        <w:rPr>
          <w:rFonts w:ascii="Times New Roman"/>
          <w:b/>
          <w:i w:val="false"/>
          <w:color w:val="000000"/>
          <w:sz w:val="24"/>
          <w:lang w:val="pl-PL"/>
        </w:rPr>
        <w:t> </w:t>
      </w:r>
      <w:r>
        <w:rPr>
          <w:rFonts w:ascii="Times New Roman"/>
          <w:b w:val="false"/>
          <w:i w:val="false"/>
          <w:color w:val="000000"/>
          <w:sz w:val="24"/>
          <w:lang w:val="pl-PL"/>
        </w:rPr>
        <w:t>(uchylony).</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77.</w:t>
      </w:r>
    </w:p>
    <w:p>
      <w:pPr>
        <w:spacing w:after="0"/>
        <w:ind w:left="0"/>
        <w:jc w:val="left"/>
        <w:textAlignment w:val="auto"/>
      </w:pPr>
      <w:r>
        <w:rPr>
          <w:rFonts w:ascii="Times New Roman"/>
          <w:b w:val="false"/>
          <w:i w:val="false"/>
          <w:color w:val="000000"/>
          <w:sz w:val="24"/>
          <w:lang w:val="pl-PL"/>
        </w:rPr>
        <w:t xml:space="preserve"> </w:t>
      </w:r>
      <w:r>
        <w:rPr>
          <w:rFonts w:ascii="Times New Roman"/>
          <w:b/>
          <w:i w:val="false"/>
          <w:color w:val="000000"/>
          <w:sz w:val="24"/>
          <w:lang w:val="pl-PL"/>
        </w:rPr>
        <w:t> </w:t>
      </w:r>
      <w:r>
        <w:rPr>
          <w:rFonts w:ascii="Times New Roman"/>
          <w:b w:val="false"/>
          <w:i w:val="false"/>
          <w:color w:val="000000"/>
          <w:sz w:val="24"/>
          <w:lang w:val="pl-PL"/>
        </w:rPr>
        <w:t>(uchylony).</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78.</w:t>
      </w:r>
    </w:p>
    <w:p>
      <w:pPr>
        <w:spacing w:after="0"/>
        <w:ind w:left="0"/>
        <w:jc w:val="left"/>
        <w:textAlignment w:val="auto"/>
      </w:pPr>
      <w:r>
        <w:rPr>
          <w:rFonts w:ascii="Times New Roman"/>
          <w:b w:val="false"/>
          <w:i w:val="false"/>
          <w:color w:val="000000"/>
          <w:sz w:val="24"/>
          <w:lang w:val="pl-PL"/>
        </w:rPr>
        <w:t xml:space="preserve"> </w:t>
      </w:r>
      <w:r>
        <w:rPr>
          <w:rFonts w:ascii="Times New Roman"/>
          <w:b/>
          <w:i w:val="false"/>
          <w:color w:val="000000"/>
          <w:sz w:val="24"/>
          <w:lang w:val="pl-PL"/>
        </w:rPr>
        <w:t> </w:t>
      </w:r>
      <w:r>
        <w:rPr>
          <w:rFonts w:ascii="Times New Roman"/>
          <w:b w:val="false"/>
          <w:i w:val="false"/>
          <w:color w:val="000000"/>
          <w:sz w:val="24"/>
          <w:lang w:val="pl-PL"/>
        </w:rPr>
        <w:t>(uchylony).</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79.</w:t>
      </w:r>
    </w:p>
    <w:p>
      <w:pPr>
        <w:spacing w:after="0"/>
        <w:ind w:left="0"/>
        <w:jc w:val="left"/>
        <w:textAlignment w:val="auto"/>
      </w:pPr>
      <w:r>
        <w:rPr>
          <w:rFonts w:ascii="Times New Roman"/>
          <w:b w:val="false"/>
          <w:i w:val="false"/>
          <w:color w:val="000000"/>
          <w:sz w:val="24"/>
          <w:lang w:val="pl-PL"/>
        </w:rPr>
        <w:t xml:space="preserve"> </w:t>
      </w:r>
      <w:r>
        <w:rPr>
          <w:rFonts w:ascii="Times New Roman"/>
          <w:b/>
          <w:i w:val="false"/>
          <w:color w:val="000000"/>
          <w:sz w:val="24"/>
          <w:lang w:val="pl-PL"/>
        </w:rPr>
        <w:t> </w:t>
      </w:r>
      <w:r>
        <w:rPr>
          <w:rFonts w:ascii="Times New Roman"/>
          <w:b w:val="false"/>
          <w:i w:val="false"/>
          <w:color w:val="000000"/>
          <w:sz w:val="24"/>
          <w:lang w:val="pl-PL"/>
        </w:rPr>
        <w:t>(uchylony).</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80.</w:t>
      </w:r>
    </w:p>
    <w:p>
      <w:pPr>
        <w:spacing w:after="0"/>
        <w:ind w:left="0"/>
        <w:jc w:val="left"/>
        <w:textAlignment w:val="auto"/>
      </w:pPr>
      <w:r>
        <w:rPr>
          <w:rFonts w:ascii="Times New Roman"/>
          <w:b w:val="false"/>
          <w:i w:val="false"/>
          <w:color w:val="000000"/>
          <w:sz w:val="24"/>
          <w:lang w:val="pl-PL"/>
        </w:rPr>
        <w:t xml:space="preserve"> </w:t>
      </w:r>
      <w:r>
        <w:rPr>
          <w:rFonts w:ascii="Times New Roman"/>
          <w:b/>
          <w:i w:val="false"/>
          <w:color w:val="000000"/>
          <w:sz w:val="24"/>
          <w:lang w:val="pl-PL"/>
        </w:rPr>
        <w:t> </w:t>
      </w:r>
      <w:r>
        <w:rPr>
          <w:rFonts w:ascii="Times New Roman"/>
          <w:b w:val="false"/>
          <w:i w:val="false"/>
          <w:color w:val="000000"/>
          <w:sz w:val="24"/>
          <w:lang w:val="pl-PL"/>
        </w:rPr>
        <w:t>(uchylony).</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81.</w:t>
      </w:r>
    </w:p>
    <w:p>
      <w:pPr>
        <w:spacing w:after="0"/>
        <w:ind w:left="0"/>
        <w:jc w:val="left"/>
        <w:textAlignment w:val="auto"/>
      </w:pPr>
      <w:r>
        <w:rPr>
          <w:rFonts w:ascii="Times New Roman"/>
          <w:b w:val="false"/>
          <w:i w:val="false"/>
          <w:color w:val="000000"/>
          <w:sz w:val="24"/>
          <w:lang w:val="pl-PL"/>
        </w:rPr>
        <w:t> (uchylony).</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82.</w:t>
      </w:r>
    </w:p>
    <w:p>
      <w:pPr>
        <w:spacing w:after="0"/>
        <w:ind w:left="0"/>
        <w:jc w:val="left"/>
        <w:textAlignment w:val="auto"/>
      </w:pPr>
      <w:r>
        <w:rPr>
          <w:rFonts w:ascii="Times New Roman"/>
          <w:b w:val="false"/>
          <w:i w:val="false"/>
          <w:color w:val="000000"/>
          <w:sz w:val="24"/>
          <w:lang w:val="pl-PL"/>
        </w:rPr>
        <w:t xml:space="preserve"> </w:t>
      </w:r>
      <w:r>
        <w:rPr>
          <w:rFonts w:ascii="Times New Roman"/>
          <w:b/>
          <w:i w:val="false"/>
          <w:color w:val="000000"/>
          <w:sz w:val="24"/>
          <w:lang w:val="pl-PL"/>
        </w:rPr>
        <w:t> </w:t>
      </w:r>
      <w:r>
        <w:rPr>
          <w:rFonts w:ascii="Times New Roman"/>
          <w:b w:val="false"/>
          <w:i w:val="false"/>
          <w:color w:val="000000"/>
          <w:sz w:val="24"/>
          <w:lang w:val="pl-PL"/>
        </w:rPr>
        <w:t>(uchylony).</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83.</w:t>
      </w:r>
    </w:p>
    <w:p>
      <w:pPr>
        <w:spacing w:after="0"/>
        <w:ind w:left="0"/>
        <w:jc w:val="left"/>
        <w:textAlignment w:val="auto"/>
      </w:pPr>
      <w:r>
        <w:rPr>
          <w:rFonts w:ascii="Times New Roman"/>
          <w:b w:val="false"/>
          <w:i w:val="false"/>
          <w:color w:val="000000"/>
          <w:sz w:val="24"/>
          <w:lang w:val="pl-PL"/>
        </w:rPr>
        <w:t xml:space="preserve"> </w:t>
      </w:r>
      <w:r>
        <w:rPr>
          <w:rFonts w:ascii="Times New Roman"/>
          <w:b/>
          <w:i w:val="false"/>
          <w:color w:val="000000"/>
          <w:sz w:val="24"/>
          <w:lang w:val="pl-PL"/>
        </w:rPr>
        <w:t> </w:t>
      </w:r>
      <w:r>
        <w:rPr>
          <w:rFonts w:ascii="Times New Roman"/>
          <w:b w:val="false"/>
          <w:i w:val="false"/>
          <w:color w:val="000000"/>
          <w:sz w:val="24"/>
          <w:lang w:val="pl-PL"/>
        </w:rPr>
        <w:t>(uchylony).</w:t>
      </w:r>
    </w:p>
    <w:p>
      <w:pPr>
        <w:spacing w:after="0"/>
        <w:ind w:left="0"/>
        <w:jc w:val="left"/>
        <w:textAlignment w:val="auto"/>
      </w:pPr>
    </w:p>
    <w:p>
      <w:pPr>
        <w:spacing w:before="89" w:after="0"/>
        <w:ind w:left="0"/>
        <w:jc w:val="center"/>
        <w:textAlignment w:val="auto"/>
      </w:pPr>
      <w:r>
        <w:rPr>
          <w:rFonts w:ascii="Times New Roman"/>
          <w:b/>
          <w:i w:val="false"/>
          <w:color w:val="000000"/>
          <w:sz w:val="24"/>
          <w:lang w:val="pl-PL"/>
        </w:rPr>
        <w:t>Rozdział  9</w:t>
      </w:r>
    </w:p>
    <w:p>
      <w:pPr>
        <w:spacing w:before="25" w:after="0"/>
        <w:ind w:left="0"/>
        <w:jc w:val="center"/>
        <w:textAlignment w:val="auto"/>
      </w:pPr>
      <w:r>
        <w:rPr>
          <w:rFonts w:ascii="Times New Roman"/>
          <w:b/>
          <w:i w:val="false"/>
          <w:color w:val="000000"/>
          <w:sz w:val="24"/>
          <w:lang w:val="pl-PL"/>
        </w:rPr>
        <w:t>Stowarzyszenia gmin</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84.</w:t>
      </w:r>
      <w:r>
        <w:rPr>
          <w:rFonts w:ascii="Times New Roman"/>
          <w:b/>
          <w:i w:val="false"/>
          <w:color w:val="000000"/>
          <w:sz w:val="24"/>
          <w:lang w:val="pl-PL"/>
        </w:rPr>
        <w:t xml:space="preserve"> [Utworzenie i statut stowarzyszeń jednostek samorządu terytorialnego]</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W celu wspierania idei samorządu terytorialnego oraz obrony wspólnych interesów, gminy mogą tworzyć stowarzyszenia, w tym również z powiatami i województwami.</w:t>
      </w: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Organizację, zadania oraz tryb pracy stowarzyszenia określa jego statut.</w:t>
      </w:r>
    </w:p>
    <w:p>
      <w:pPr>
        <w:spacing w:before="26" w:after="0"/>
        <w:ind w:left="0"/>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xml:space="preserve"> Do stowarzyszeń gmin stosuje się odpowiednio przepisy </w:t>
      </w:r>
      <w:r>
        <w:rPr>
          <w:rFonts w:ascii="Times New Roman"/>
          <w:b w:val="false"/>
          <w:i w:val="false"/>
          <w:color w:val="1b1b1b"/>
          <w:sz w:val="24"/>
          <w:lang w:val="pl-PL"/>
        </w:rPr>
        <w:t>Prawa o stowarzyszeniach</w:t>
      </w:r>
      <w:r>
        <w:rPr>
          <w:rFonts w:ascii="Times New Roman"/>
          <w:b w:val="false"/>
          <w:i w:val="false"/>
          <w:color w:val="000000"/>
          <w:sz w:val="24"/>
          <w:lang w:val="pl-PL"/>
        </w:rPr>
        <w:t>, z tym że dla założenia stowarzyszenia wymaganych jest co najmniej 3 założycieli.</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84a.</w:t>
      </w:r>
      <w:r>
        <w:rPr>
          <w:rFonts w:ascii="Times New Roman"/>
          <w:b/>
          <w:i w:val="false"/>
          <w:color w:val="000000"/>
          <w:sz w:val="24"/>
          <w:lang w:val="pl-PL"/>
        </w:rPr>
        <w:t xml:space="preserve"> [Przystępowanie gmin do międzynarodowych zrzeszeń społeczności lokalnych i regionalnych]</w:t>
      </w:r>
    </w:p>
    <w:p>
      <w:pPr>
        <w:spacing w:after="0"/>
        <w:ind w:left="0"/>
        <w:jc w:val="left"/>
        <w:textAlignment w:val="auto"/>
      </w:pPr>
      <w:r>
        <w:rPr>
          <w:rFonts w:ascii="Times New Roman"/>
          <w:b w:val="false"/>
          <w:i w:val="false"/>
          <w:color w:val="000000"/>
          <w:sz w:val="24"/>
          <w:lang w:val="pl-PL"/>
        </w:rPr>
        <w:t xml:space="preserve"> Zasady przystępowania gminy do międzynarodowych zrzeszeń społeczności lokalnych i regionalnych określają odrębne </w:t>
      </w:r>
      <w:r>
        <w:rPr>
          <w:rFonts w:ascii="Times New Roman"/>
          <w:b w:val="false"/>
          <w:i w:val="false"/>
          <w:color w:val="1b1b1b"/>
          <w:sz w:val="24"/>
          <w:lang w:val="pl-PL"/>
        </w:rPr>
        <w:t>przepisy</w:t>
      </w:r>
      <w:r>
        <w:rPr>
          <w:rFonts w:ascii="Times New Roman"/>
          <w:b w:val="false"/>
          <w:i w:val="false"/>
          <w:color w:val="000000"/>
          <w:sz w:val="24"/>
          <w:lang w:val="pl-PL"/>
        </w:rPr>
        <w:t>.</w:t>
      </w:r>
    </w:p>
    <w:p>
      <w:pPr>
        <w:spacing w:after="0"/>
        <w:ind w:left="0"/>
        <w:jc w:val="left"/>
        <w:textAlignment w:val="auto"/>
      </w:pPr>
    </w:p>
    <w:p>
      <w:pPr>
        <w:spacing w:before="89" w:after="0"/>
        <w:ind w:left="0"/>
        <w:jc w:val="center"/>
        <w:textAlignment w:val="auto"/>
      </w:pPr>
      <w:r>
        <w:rPr>
          <w:rFonts w:ascii="Times New Roman"/>
          <w:b/>
          <w:i w:val="false"/>
          <w:color w:val="000000"/>
          <w:sz w:val="24"/>
          <w:lang w:val="pl-PL"/>
        </w:rPr>
        <w:t>Rozdział  10</w:t>
      </w:r>
    </w:p>
    <w:p>
      <w:pPr>
        <w:spacing w:before="25" w:after="0"/>
        <w:ind w:left="0"/>
        <w:jc w:val="center"/>
        <w:textAlignment w:val="auto"/>
      </w:pPr>
      <w:r>
        <w:rPr>
          <w:rFonts w:ascii="Times New Roman"/>
          <w:b/>
          <w:i w:val="false"/>
          <w:color w:val="000000"/>
          <w:sz w:val="24"/>
          <w:lang w:val="pl-PL"/>
        </w:rPr>
        <w:t>Nadzór nad działalnością gminną</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85.</w:t>
      </w:r>
      <w:r>
        <w:rPr>
          <w:rFonts w:ascii="Times New Roman"/>
          <w:b/>
          <w:i w:val="false"/>
          <w:color w:val="000000"/>
          <w:sz w:val="24"/>
          <w:lang w:val="pl-PL"/>
        </w:rPr>
        <w:t xml:space="preserve"> [Kryterium nadzoru]</w:t>
      </w:r>
    </w:p>
    <w:p>
      <w:pPr>
        <w:spacing w:after="0"/>
        <w:ind w:left="0"/>
        <w:jc w:val="left"/>
        <w:textAlignment w:val="auto"/>
      </w:pPr>
      <w:r>
        <w:rPr>
          <w:rFonts w:ascii="Times New Roman"/>
          <w:b w:val="false"/>
          <w:i w:val="false"/>
          <w:color w:val="000000"/>
          <w:sz w:val="24"/>
          <w:lang w:val="pl-PL"/>
        </w:rPr>
        <w:t> Nadzór nad działalnością gminną sprawowany jest na podstawie kryterium zgodności z prawem.</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86.</w:t>
      </w:r>
      <w:r>
        <w:rPr>
          <w:rFonts w:ascii="Times New Roman"/>
          <w:b/>
          <w:i w:val="false"/>
          <w:color w:val="000000"/>
          <w:sz w:val="24"/>
          <w:lang w:val="pl-PL"/>
        </w:rPr>
        <w:t xml:space="preserve"> [Właściwość organów nadzoru]</w:t>
      </w:r>
    </w:p>
    <w:p>
      <w:pPr>
        <w:spacing w:after="0"/>
        <w:ind w:left="0"/>
        <w:jc w:val="left"/>
        <w:textAlignment w:val="auto"/>
      </w:pPr>
      <w:r>
        <w:rPr>
          <w:rFonts w:ascii="Times New Roman"/>
          <w:b w:val="false"/>
          <w:i w:val="false"/>
          <w:color w:val="000000"/>
          <w:sz w:val="24"/>
          <w:lang w:val="pl-PL"/>
        </w:rPr>
        <w:t xml:space="preserve"> </w:t>
      </w:r>
      <w:r>
        <w:rPr>
          <w:rFonts w:ascii="Times New Roman"/>
          <w:b/>
          <w:i w:val="false"/>
          <w:color w:val="000000"/>
          <w:sz w:val="24"/>
          <w:lang w:val="pl-PL"/>
        </w:rPr>
        <w:t> </w:t>
      </w:r>
      <w:r>
        <w:rPr>
          <w:rFonts w:ascii="Times New Roman"/>
          <w:b w:val="false"/>
          <w:i w:val="false"/>
          <w:color w:val="000000"/>
          <w:sz w:val="24"/>
          <w:lang w:val="pl-PL"/>
        </w:rPr>
        <w:t>Organami nadzoru są Prezes Rady Ministrów i wojewoda, a w zakresie spraw finansowych - regionalna izba obrachunkowa.</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87.</w:t>
      </w:r>
      <w:r>
        <w:rPr>
          <w:rFonts w:ascii="Times New Roman"/>
          <w:b/>
          <w:i w:val="false"/>
          <w:color w:val="000000"/>
          <w:sz w:val="24"/>
          <w:lang w:val="pl-PL"/>
        </w:rPr>
        <w:t xml:space="preserve"> [Zakres nadzoru]</w:t>
      </w:r>
    </w:p>
    <w:p>
      <w:pPr>
        <w:spacing w:after="0"/>
        <w:ind w:left="0"/>
        <w:jc w:val="left"/>
        <w:textAlignment w:val="auto"/>
      </w:pPr>
      <w:r>
        <w:rPr>
          <w:rFonts w:ascii="Times New Roman"/>
          <w:b w:val="false"/>
          <w:i w:val="false"/>
          <w:color w:val="000000"/>
          <w:sz w:val="24"/>
          <w:lang w:val="pl-PL"/>
        </w:rPr>
        <w:t xml:space="preserve"> </w:t>
      </w:r>
      <w:r>
        <w:rPr>
          <w:rFonts w:ascii="Times New Roman"/>
          <w:b/>
          <w:i w:val="false"/>
          <w:color w:val="000000"/>
          <w:sz w:val="24"/>
          <w:lang w:val="pl-PL"/>
        </w:rPr>
        <w:t> </w:t>
      </w:r>
      <w:r>
        <w:rPr>
          <w:rFonts w:ascii="Times New Roman"/>
          <w:b w:val="false"/>
          <w:i w:val="false"/>
          <w:color w:val="000000"/>
          <w:sz w:val="24"/>
          <w:lang w:val="pl-PL"/>
        </w:rPr>
        <w:t xml:space="preserve">Organy nadzoru mogą wkraczać w działalność gminną tylko w przypadkach określonych </w:t>
      </w:r>
      <w:r>
        <w:rPr>
          <w:rFonts w:ascii="Times New Roman"/>
          <w:b w:val="false"/>
          <w:i w:val="false"/>
          <w:color w:val="1b1b1b"/>
          <w:sz w:val="24"/>
          <w:lang w:val="pl-PL"/>
        </w:rPr>
        <w:t>ustawami</w:t>
      </w:r>
      <w:r>
        <w:rPr>
          <w:rFonts w:ascii="Times New Roman"/>
          <w:b w:val="false"/>
          <w:i w:val="false"/>
          <w:color w:val="000000"/>
          <w:sz w:val="24"/>
          <w:lang w:val="pl-PL"/>
        </w:rPr>
        <w:t>.</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88.</w:t>
      </w:r>
      <w:r>
        <w:rPr>
          <w:rFonts w:ascii="Times New Roman"/>
          <w:b/>
          <w:i w:val="false"/>
          <w:color w:val="000000"/>
          <w:sz w:val="24"/>
          <w:lang w:val="pl-PL"/>
        </w:rPr>
        <w:t xml:space="preserve"> [Informacyjne uprawnienia organów nadzoru]</w:t>
      </w:r>
    </w:p>
    <w:p>
      <w:pPr>
        <w:spacing w:after="0"/>
        <w:ind w:left="0"/>
        <w:jc w:val="left"/>
        <w:textAlignment w:val="auto"/>
      </w:pPr>
      <w:r>
        <w:rPr>
          <w:rFonts w:ascii="Times New Roman"/>
          <w:b w:val="false"/>
          <w:i w:val="false"/>
          <w:color w:val="000000"/>
          <w:sz w:val="24"/>
          <w:lang w:val="pl-PL"/>
        </w:rPr>
        <w:t xml:space="preserve"> </w:t>
      </w:r>
      <w:r>
        <w:rPr>
          <w:rFonts w:ascii="Times New Roman"/>
          <w:b/>
          <w:i w:val="false"/>
          <w:color w:val="000000"/>
          <w:sz w:val="24"/>
          <w:lang w:val="pl-PL"/>
        </w:rPr>
        <w:t> </w:t>
      </w:r>
      <w:r>
        <w:rPr>
          <w:rFonts w:ascii="Times New Roman"/>
          <w:b w:val="false"/>
          <w:i w:val="false"/>
          <w:color w:val="000000"/>
          <w:sz w:val="24"/>
          <w:lang w:val="pl-PL"/>
        </w:rPr>
        <w:t>Organy nadzoru mają prawo żądania informacji i danych, dotyczących organizacji i funkcjonowania gminy, niezbędnych do wykonywania przysługujących im uprawnień nadzorczych.</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89.</w:t>
      </w:r>
      <w:r>
        <w:rPr>
          <w:rFonts w:ascii="Times New Roman"/>
          <w:b/>
          <w:i w:val="false"/>
          <w:color w:val="000000"/>
          <w:sz w:val="24"/>
          <w:lang w:val="pl-PL"/>
        </w:rPr>
        <w:t xml:space="preserve"> [Zatwierdzanie, uzgadnianie lub opiniowanie rozstrzygnięć organu gminy przez inny organ]</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Jeżeli prawo uzależnia ważność rozstrzygnięcia organu gminy od jego zatwierdzenia, uzgodnienia lub zaopiniowania przez inny organ, zajęcie stanowiska przez ten organ powinno nastąpić nie później niż w ciągu 14 dni od dnia doręczenia tego rozstrzygnięcia lub jego projektu, z zastrzeżeniem ust. 1a.</w:t>
      </w:r>
    </w:p>
    <w:p>
      <w:pPr>
        <w:spacing w:before="26" w:after="0"/>
        <w:ind w:left="0"/>
        <w:jc w:val="left"/>
        <w:textAlignment w:val="auto"/>
      </w:pPr>
      <w:r>
        <w:rPr>
          <w:rFonts w:ascii="Times New Roman"/>
          <w:b w:val="false"/>
          <w:i w:val="false"/>
          <w:color w:val="000000"/>
          <w:sz w:val="24"/>
          <w:lang w:val="pl-PL"/>
        </w:rPr>
        <w:t>1a.</w:t>
      </w:r>
      <w:r>
        <w:rPr>
          <w:rFonts w:ascii="Times New Roman"/>
          <w:b w:val="false"/>
          <w:i w:val="false"/>
          <w:color w:val="000000"/>
          <w:sz w:val="24"/>
          <w:lang w:val="pl-PL"/>
        </w:rPr>
        <w:t> Termin, o którym mowa w ust. 1, wynosi 30 dni, jeżeli zatwierdzenie, uzgodnienie lub zaopiniowanie wymagane jest od organu stanowiącego jednostki samorządu terytorialnego.</w:t>
      </w: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Jeżeli organ, o którym mowa w ust. 1 lub 1a, nie zajmie stanowiska w sprawie, rozstrzygnięcie uważa się za przyjęte w brzmieniu przedłożonym przez gminę, z upływem terminu określonego w ust. 1 lub 1a.</w:t>
      </w:r>
    </w:p>
    <w:p>
      <w:pPr>
        <w:spacing w:before="26" w:after="0"/>
        <w:ind w:left="0"/>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Do zatwierdzania, uzgadniania lub opiniowania przez organy gminy rozstrzygnięć innych organów przepisy ust. 1, 1a i 2 stosuje się odpowiednio.</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90.</w:t>
      </w:r>
      <w:r>
        <w:rPr>
          <w:rFonts w:ascii="Times New Roman"/>
          <w:b/>
          <w:i w:val="false"/>
          <w:color w:val="000000"/>
          <w:sz w:val="24"/>
          <w:lang w:val="pl-PL"/>
        </w:rPr>
        <w:t xml:space="preserve"> [Wymóg przedłożenia uchwał i zarządzeń organom nadzoru]</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Wójt obowiązany jest do przedłożenia wojewodzie uchwał rady gminy w ciągu 7 dni od dnia ich podjęcia. Akty ustanawiające przepisy porządkowe wójt przekazuje w ciągu 2 dni od ich ustanowienia.</w:t>
      </w: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Wójt przedkłada regionalnej izbie obrachunkowej, na zasadach określonych w ust. 1, uchwałę budżetową, uchwałę w sprawie absolutorium oraz inne uchwały rady gminy i zarządzenia wójta objęte zakresem nadzoru regionalnej izby obrachunkowej.</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91.</w:t>
      </w:r>
      <w:r>
        <w:rPr>
          <w:rFonts w:ascii="Times New Roman"/>
          <w:b/>
          <w:i w:val="false"/>
          <w:color w:val="000000"/>
          <w:sz w:val="24"/>
          <w:lang w:val="pl-PL"/>
        </w:rPr>
        <w:t xml:space="preserve"> [Nieważność aktu prawa miejscowego. Rozstrzygnięcie nadzorcze]</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Uchwała lub zarządzenie organu gminy sprzeczne z prawem są nieważne. O nieważności uchwały lub zarządzenia w całości lub w części orzeka organ nadzoru w terminie nie dłuższym niż 30 dni od dnia doręczenia uchwały lub zarządzenia, w trybie określonym w art. 90.</w:t>
      </w: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Organ nadzoru, wszczynając postępowanie w sprawie stwierdzenia nieważności uchwały lub zarządzenia albo w toku tego postępowania, może wstrzymać ich wykonanie.</w:t>
      </w:r>
    </w:p>
    <w:p>
      <w:pPr>
        <w:spacing w:before="26" w:after="0"/>
        <w:ind w:left="0"/>
        <w:jc w:val="left"/>
        <w:textAlignment w:val="auto"/>
      </w:pPr>
      <w:r>
        <w:rPr>
          <w:rFonts w:ascii="Times New Roman"/>
          <w:b w:val="false"/>
          <w:i w:val="false"/>
          <w:color w:val="000000"/>
          <w:sz w:val="24"/>
          <w:lang w:val="pl-PL"/>
        </w:rPr>
        <w:t>2a.</w:t>
      </w:r>
      <w:r>
        <w:rPr>
          <w:rFonts w:ascii="Times New Roman"/>
          <w:b w:val="false"/>
          <w:i w:val="false"/>
          <w:color w:val="000000"/>
          <w:sz w:val="24"/>
          <w:lang w:val="pl-PL"/>
        </w:rPr>
        <w:t> Przepisu ust. 2 nie stosuje się do uchwały lub zarządzenia o zaskarżeniu rozstrzygnięcia nadzorczego do sądu administracyjnego.</w:t>
      </w:r>
    </w:p>
    <w:p>
      <w:pPr>
        <w:spacing w:before="26" w:after="0"/>
        <w:ind w:left="0"/>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Rozstrzygnięcie nadzorcze powinno zawierać uzasadnienie faktyczne i prawne oraz pouczenie o dopuszczalności wniesienia skargi do sądu administracyjnego.</w:t>
      </w:r>
    </w:p>
    <w:p>
      <w:pPr>
        <w:spacing w:before="26" w:after="0"/>
        <w:ind w:left="0"/>
        <w:jc w:val="left"/>
        <w:textAlignment w:val="auto"/>
      </w:pPr>
      <w:r>
        <w:rPr>
          <w:rFonts w:ascii="Times New Roman"/>
          <w:b w:val="false"/>
          <w:i w:val="false"/>
          <w:color w:val="000000"/>
          <w:sz w:val="24"/>
          <w:lang w:val="pl-PL"/>
        </w:rPr>
        <w:t>4.</w:t>
      </w:r>
      <w:r>
        <w:rPr>
          <w:rFonts w:ascii="Times New Roman"/>
          <w:b w:val="false"/>
          <w:i w:val="false"/>
          <w:color w:val="000000"/>
          <w:sz w:val="24"/>
          <w:lang w:val="pl-PL"/>
        </w:rPr>
        <w:t> W przypadku nieistotnego naruszenia prawa organ nadzoru nie stwierdza nieważności uchwały lub zarządzenia, ograniczając się do wskazania, iż uchwałę lub zarządzenie wydano z naruszeniem prawa.</w:t>
      </w:r>
    </w:p>
    <w:p>
      <w:pPr>
        <w:spacing w:before="26" w:after="0"/>
        <w:ind w:left="0"/>
        <w:jc w:val="left"/>
        <w:textAlignment w:val="auto"/>
      </w:pPr>
      <w:r>
        <w:rPr>
          <w:rFonts w:ascii="Times New Roman"/>
          <w:b w:val="false"/>
          <w:i w:val="false"/>
          <w:color w:val="000000"/>
          <w:sz w:val="24"/>
          <w:lang w:val="pl-PL"/>
        </w:rPr>
        <w:t>5.</w:t>
      </w:r>
      <w:r>
        <w:rPr>
          <w:rFonts w:ascii="Times New Roman"/>
          <w:b w:val="false"/>
          <w:i w:val="false"/>
          <w:color w:val="000000"/>
          <w:sz w:val="24"/>
          <w:lang w:val="pl-PL"/>
        </w:rPr>
        <w:t xml:space="preserve"> Przepisy </w:t>
      </w:r>
      <w:r>
        <w:rPr>
          <w:rFonts w:ascii="Times New Roman"/>
          <w:b w:val="false"/>
          <w:i w:val="false"/>
          <w:color w:val="1b1b1b"/>
          <w:sz w:val="24"/>
          <w:lang w:val="pl-PL"/>
        </w:rPr>
        <w:t>Kodeksu postępowania administracyjnego</w:t>
      </w:r>
      <w:r>
        <w:rPr>
          <w:rFonts w:ascii="Times New Roman"/>
          <w:b w:val="false"/>
          <w:i w:val="false"/>
          <w:color w:val="000000"/>
          <w:sz w:val="24"/>
          <w:lang w:val="pl-PL"/>
        </w:rPr>
        <w:t xml:space="preserve"> stosuje się odpowiednio.</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92.</w:t>
      </w:r>
      <w:r>
        <w:rPr>
          <w:rFonts w:ascii="Times New Roman"/>
          <w:b/>
          <w:i w:val="false"/>
          <w:color w:val="000000"/>
          <w:sz w:val="24"/>
          <w:lang w:val="pl-PL"/>
        </w:rPr>
        <w:t xml:space="preserve"> [Wstrzymanie wykonania uchwały lub zarządzenia]</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Stwierdzenie przez organ nadzoru nieważności uchwały lub zarządzenia organu gminy wstrzymuje ich wykonanie z mocy prawa w zakresie objętym stwierdzeniem nieważności, z dniem doręczenia rozstrzygnięcia nadzorczego.</w:t>
      </w: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Przepisu ust. 1 nie stosuje się do uchwały lub zarządzenia o zaskarżeniu rozstrzygnięcia nadzorczego do sądu administracyjnego.</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92a.</w:t>
      </w:r>
      <w:r>
        <w:rPr>
          <w:rFonts w:ascii="Times New Roman"/>
          <w:b/>
          <w:i w:val="false"/>
          <w:color w:val="000000"/>
          <w:sz w:val="24"/>
          <w:lang w:val="pl-PL"/>
        </w:rPr>
        <w:t xml:space="preserve"> [Termin wyznaczenia rozprawy w sprawie skargi na rozstrzygnięcie nadzorcze; termin rozpatrzenia skargi na odwołanie wójta oraz na zawieszenie organów gminy]</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W przypadku złożenia przez organ gminy skargi na rozstrzygnięcie nadzorcze, sąd administracyjny wyznacza rozprawę nie później niż w ciągu 30 dni od dnia wpłynięcia skargi do sądu.</w:t>
      </w: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W przypadku złożenia skargi na rozstrzygnięcie, o którym mowa w art. 96 ust. 2 i art. 97 ust. 1, sąd administracyjny rozpatruje tę skargę w terminie 30 dni. Skargę kasacyjną Naczelny Sąd Administracyjny rozpatruje w terminie 30 dni.</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93.</w:t>
      </w:r>
      <w:r>
        <w:rPr>
          <w:rFonts w:ascii="Times New Roman"/>
          <w:b/>
          <w:i w:val="false"/>
          <w:color w:val="000000"/>
          <w:sz w:val="24"/>
          <w:lang w:val="pl-PL"/>
        </w:rPr>
        <w:t xml:space="preserve"> [Skarga organu nadzoru na uchwałę lub zarządzenie]</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Po upływie terminu wskazanego w art. 91 ust. 1 organ nadzoru nie może we własnym zakresie stwierdzić nieważności uchwały lub zarządzenia organu gminy. W tym przypadku organ nadzoru może zaskarżyć uchwałę lub zarządzenie do sądu administracyjnego.</w:t>
      </w: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W przypadku, o którym mowa w ust. 1, wydanie postanowienia o wstrzymaniu wykonania uchwały lub zarządzenia należy do sądu.</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94.</w:t>
      </w:r>
      <w:r>
        <w:rPr>
          <w:rFonts w:ascii="Times New Roman"/>
          <w:b/>
          <w:i w:val="false"/>
          <w:color w:val="000000"/>
          <w:sz w:val="24"/>
          <w:lang w:val="pl-PL"/>
        </w:rPr>
        <w:t xml:space="preserve"> [Stwierdzenie nieważności oraz niezgodności z prawem uchwały lub zarządzenia]</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Nie stwierdza się nieważności uchwały lub zarządzenia organu gminy po upływie jednego roku od dnia ich podjęcia, chyba że uchybiono obowiązkowi przedłożenia uchwały lub zarządzenia w terminie określonym w art. 90 ust. 1, albo jeżeli są one aktem prawa miejscowego.</w:t>
      </w: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xml:space="preserve"> Jeżeli nie stwierdzono nieważności uchwały lub zarządzenia z powodu upływu terminu określonego w ust. 1, a istnieją przesłanki stwierdzenia nieważności, sąd administracyjny orzeka o ich niezgodności z prawem. Uchwała lub zarządzenie tracą moc prawną z dniem orzeczenia o ich niezgodności z prawem. Przepisy </w:t>
      </w:r>
      <w:r>
        <w:rPr>
          <w:rFonts w:ascii="Times New Roman"/>
          <w:b w:val="false"/>
          <w:i w:val="false"/>
          <w:color w:val="1b1b1b"/>
          <w:sz w:val="24"/>
          <w:lang w:val="pl-PL"/>
        </w:rPr>
        <w:t>Kodeksu postępowania administracyjnego</w:t>
      </w:r>
      <w:r>
        <w:rPr>
          <w:rFonts w:ascii="Times New Roman"/>
          <w:b w:val="false"/>
          <w:i w:val="false"/>
          <w:color w:val="000000"/>
          <w:sz w:val="24"/>
          <w:lang w:val="pl-PL"/>
        </w:rPr>
        <w:t xml:space="preserve"> co do skutków takiego orzeczenia stosuje się odpowiednio.</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95.</w:t>
      </w:r>
    </w:p>
    <w:p>
      <w:pPr>
        <w:spacing w:after="0"/>
        <w:ind w:left="0"/>
        <w:jc w:val="left"/>
        <w:textAlignment w:val="auto"/>
      </w:pPr>
      <w:r>
        <w:rPr>
          <w:rFonts w:ascii="Times New Roman"/>
          <w:b w:val="false"/>
          <w:i w:val="false"/>
          <w:color w:val="000000"/>
          <w:sz w:val="24"/>
          <w:lang w:val="pl-PL"/>
        </w:rPr>
        <w:t> (uchylony).</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96.</w:t>
      </w:r>
      <w:r>
        <w:rPr>
          <w:rFonts w:ascii="Times New Roman"/>
          <w:b/>
          <w:i w:val="false"/>
          <w:color w:val="000000"/>
          <w:sz w:val="24"/>
          <w:lang w:val="pl-PL"/>
        </w:rPr>
        <w:t xml:space="preserve"> [Rozwiązanie rady gminy. Odwołanie wójta. Wyznaczenie osoby pełniącej funkcje rady i wójta]</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xml:space="preserve"> W razie powtarzającego się naruszenia przez radę gminy </w:t>
      </w:r>
      <w:r>
        <w:rPr>
          <w:rFonts w:ascii="Times New Roman"/>
          <w:b w:val="false"/>
          <w:i w:val="false"/>
          <w:color w:val="1b1b1b"/>
          <w:sz w:val="24"/>
          <w:lang w:val="pl-PL"/>
        </w:rPr>
        <w:t>Konstytucji</w:t>
      </w:r>
      <w:r>
        <w:rPr>
          <w:rFonts w:ascii="Times New Roman"/>
          <w:b w:val="false"/>
          <w:i w:val="false"/>
          <w:color w:val="000000"/>
          <w:sz w:val="24"/>
          <w:lang w:val="pl-PL"/>
        </w:rPr>
        <w:t xml:space="preserve"> lub ustaw, Sejm, na wniosek Prezesa Rady Ministrów, może w drodze uchwały rozwiązać radę gminy. W przypadku rozwiązania rady gminy Prezes Rady Ministrów, na wniosek ministra właściwego do spraw administracji publicznej, wyznacza osobę, która do czasu wyboru rady gminy pełni jej funkcję.</w:t>
      </w: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xml:space="preserve"> Jeżeli powtarzającego się naruszenia </w:t>
      </w:r>
      <w:r>
        <w:rPr>
          <w:rFonts w:ascii="Times New Roman"/>
          <w:b w:val="false"/>
          <w:i w:val="false"/>
          <w:color w:val="1b1b1b"/>
          <w:sz w:val="24"/>
          <w:lang w:val="pl-PL"/>
        </w:rPr>
        <w:t>Konstytucji</w:t>
      </w:r>
      <w:r>
        <w:rPr>
          <w:rFonts w:ascii="Times New Roman"/>
          <w:b w:val="false"/>
          <w:i w:val="false"/>
          <w:color w:val="000000"/>
          <w:sz w:val="24"/>
          <w:lang w:val="pl-PL"/>
        </w:rPr>
        <w:t xml:space="preserve"> lub ustaw dopuszcza się wójt, wojewoda wzywa wójta do zaprzestania naruszeń, a jeżeli wezwanie to nie odnosi skutku - występuje z wnioskiem do Prezesa Rady Ministrów o odwołanie wójta. W przypadku odwołania wójta Prezes Rady Ministrów, na wniosek ministra właściwego do spraw administracji publicznej, wyznacza osobę, która do czasu wyboru wójta pełni jego funkcję.</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97.</w:t>
      </w:r>
      <w:r>
        <w:rPr>
          <w:rFonts w:ascii="Times New Roman"/>
          <w:b/>
          <w:i w:val="false"/>
          <w:color w:val="000000"/>
          <w:sz w:val="24"/>
          <w:lang w:val="pl-PL"/>
        </w:rPr>
        <w:t xml:space="preserve"> [Zawieszenie organów gminy oraz ustanowienie zarządu komisarycznego]</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W razie nierokującego nadziei na szybką poprawę i przedłużającego się braku skuteczności w wykonywaniu zadań publicznych przez organy gminy, Prezes Rady Ministrów, na wniosek ministra właściwego do spraw administracji publicznej, może zawiesić organy gminy i ustanowić zarząd komisaryczny na okres do dwóch lat, nie dłużej jednak niż do wyboru rady oraz wójta na kolejną kadencję.</w:t>
      </w: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Ustanowienie zarządu komisarycznego może nastąpić po uprzednim przedstawieniu zarzutów organom gminy i wezwaniu ich do niezwłocznego przedłożenia programu poprawy sytuacji gminy.</w:t>
      </w:r>
    </w:p>
    <w:p>
      <w:pPr>
        <w:spacing w:before="26" w:after="0"/>
        <w:ind w:left="0"/>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Komisarza rządowego powołuje Prezes Rady Ministrów na wniosek wojewody, zgłoszony za pośrednictwem ministra właściwego do spraw administracji publicznej.</w:t>
      </w:r>
    </w:p>
    <w:p>
      <w:pPr>
        <w:spacing w:before="26" w:after="0"/>
        <w:ind w:left="0"/>
        <w:jc w:val="left"/>
        <w:textAlignment w:val="auto"/>
      </w:pPr>
      <w:r>
        <w:rPr>
          <w:rFonts w:ascii="Times New Roman"/>
          <w:b w:val="false"/>
          <w:i w:val="false"/>
          <w:color w:val="000000"/>
          <w:sz w:val="24"/>
          <w:lang w:val="pl-PL"/>
        </w:rPr>
        <w:t>4.</w:t>
      </w:r>
      <w:r>
        <w:rPr>
          <w:rFonts w:ascii="Times New Roman"/>
          <w:b w:val="false"/>
          <w:i w:val="false"/>
          <w:color w:val="000000"/>
          <w:sz w:val="24"/>
          <w:lang w:val="pl-PL"/>
        </w:rPr>
        <w:t> Komisarz rządowy przejmuje wykonywanie zadań i kompetencji organów gminy z dniem powołania.</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98.</w:t>
      </w:r>
      <w:r>
        <w:rPr>
          <w:rFonts w:ascii="Times New Roman"/>
          <w:b/>
          <w:i w:val="false"/>
          <w:color w:val="000000"/>
          <w:sz w:val="24"/>
          <w:lang w:val="pl-PL"/>
        </w:rPr>
        <w:t xml:space="preserve"> [Skarga na rozstrzygnięcie organu nadzorczego]</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Rozstrzygnięcia organu nadzorczego dotyczące gminy, w tym rozstrzygnięcia, o których mowa w art. 96 ust. 2 i art. 97 ust. 1, a także stanowisko zajęte w trybie art. 89, podlegają zaskarżeniu do sądu administracyjnego z powodu niezgodności z prawem w terminie 30 dni od dnia ich doręczenia.</w:t>
      </w: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Przepis ust. 1 stosuje się odpowiednio do rozstrzygnięć dotyczących organów związków i porozumień międzygminnych.</w:t>
      </w:r>
    </w:p>
    <w:p>
      <w:pPr>
        <w:spacing w:before="26" w:after="0"/>
        <w:ind w:left="0"/>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Do złożenia skargi uprawniona jest gmina lub związek międzygminny, których interes prawny, uprawnienie albo kompetencja zostały naruszone. Podstawą do wniesienia skargi jest uchwała lub zarządzenie organu, który podjął uchwałę lub zarządzenie albo którego dotyczy rozstrzygnięcie nadzorcze.</w:t>
      </w:r>
    </w:p>
    <w:p>
      <w:pPr>
        <w:spacing w:before="26" w:after="0"/>
        <w:ind w:left="0"/>
        <w:jc w:val="left"/>
        <w:textAlignment w:val="auto"/>
      </w:pPr>
      <w:r>
        <w:rPr>
          <w:rFonts w:ascii="Times New Roman"/>
          <w:b w:val="false"/>
          <w:i w:val="false"/>
          <w:color w:val="000000"/>
          <w:sz w:val="24"/>
          <w:lang w:val="pl-PL"/>
        </w:rPr>
        <w:t>3a.</w:t>
      </w:r>
      <w:r>
        <w:rPr>
          <w:rFonts w:ascii="Times New Roman"/>
          <w:b w:val="false"/>
          <w:i w:val="false"/>
          <w:color w:val="000000"/>
          <w:sz w:val="24"/>
          <w:lang w:val="pl-PL"/>
        </w:rPr>
        <w:t> Do złożenia skargi na rozstrzygnięcie organu nadzorczego, dotyczące uchwały rady gminy, doręczone po upływie kadencji rady, uprawniona jest rada gminy następnej kadencji w terminie 30 dni od dnia wyboru przewodniczącego rady.</w:t>
      </w:r>
    </w:p>
    <w:p>
      <w:pPr>
        <w:spacing w:before="26" w:after="0"/>
        <w:ind w:left="0"/>
        <w:jc w:val="left"/>
        <w:textAlignment w:val="auto"/>
      </w:pPr>
      <w:r>
        <w:rPr>
          <w:rFonts w:ascii="Times New Roman"/>
          <w:b w:val="false"/>
          <w:i w:val="false"/>
          <w:color w:val="000000"/>
          <w:sz w:val="24"/>
          <w:lang w:val="pl-PL"/>
        </w:rPr>
        <w:t>4.</w:t>
      </w:r>
      <w:r>
        <w:rPr>
          <w:rFonts w:ascii="Times New Roman"/>
          <w:b w:val="false"/>
          <w:i w:val="false"/>
          <w:color w:val="000000"/>
          <w:sz w:val="24"/>
          <w:lang w:val="pl-PL"/>
        </w:rPr>
        <w:t xml:space="preserve"> Do postępowania w sprawach, o których mowa w ust. 1 i 2, stosuje się odpowiednio </w:t>
      </w:r>
      <w:r>
        <w:rPr>
          <w:rFonts w:ascii="Times New Roman"/>
          <w:b w:val="false"/>
          <w:i w:val="false"/>
          <w:color w:val="1b1b1b"/>
          <w:sz w:val="24"/>
          <w:lang w:val="pl-PL"/>
        </w:rPr>
        <w:t>przepisy</w:t>
      </w:r>
      <w:r>
        <w:rPr>
          <w:rFonts w:ascii="Times New Roman"/>
          <w:b w:val="false"/>
          <w:i w:val="false"/>
          <w:color w:val="000000"/>
          <w:sz w:val="24"/>
          <w:lang w:val="pl-PL"/>
        </w:rPr>
        <w:t xml:space="preserve"> o zaskarżaniu do sądu administracyjnego decyzji w indywidualnych sprawach z zakresu administracji publicznej.</w:t>
      </w:r>
    </w:p>
    <w:p>
      <w:pPr>
        <w:spacing w:before="26" w:after="0"/>
        <w:ind w:left="0"/>
        <w:jc w:val="left"/>
        <w:textAlignment w:val="auto"/>
      </w:pPr>
      <w:r>
        <w:rPr>
          <w:rFonts w:ascii="Times New Roman"/>
          <w:b w:val="false"/>
          <w:i w:val="false"/>
          <w:color w:val="000000"/>
          <w:sz w:val="24"/>
          <w:lang w:val="pl-PL"/>
        </w:rPr>
        <w:t>5.</w:t>
      </w:r>
      <w:r>
        <w:rPr>
          <w:rFonts w:ascii="Times New Roman"/>
          <w:b w:val="false"/>
          <w:i w:val="false"/>
          <w:color w:val="000000"/>
          <w:sz w:val="24"/>
          <w:lang w:val="pl-PL"/>
        </w:rPr>
        <w:t> Rozstrzygnięcia nadzorcze stają się prawomocne z upływem terminu do wniesienia skargi bądź z datą oddalenia lub odrzucenia skargi przez sąd.</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98a.</w:t>
      </w:r>
      <w:r>
        <w:rPr>
          <w:rFonts w:ascii="Times New Roman"/>
          <w:b/>
          <w:i w:val="false"/>
          <w:color w:val="000000"/>
          <w:sz w:val="24"/>
          <w:lang w:val="pl-PL"/>
        </w:rPr>
        <w:t xml:space="preserve"> [Zarządzenie zastępcze wojewody]</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xml:space="preserve"> Jeżeli właściwy organ gminy, wbrew obowiązkowi wynikającemu z przepisów </w:t>
      </w:r>
      <w:r>
        <w:rPr>
          <w:rFonts w:ascii="Times New Roman"/>
          <w:b w:val="false"/>
          <w:i w:val="false"/>
          <w:color w:val="1b1b1b"/>
          <w:sz w:val="24"/>
          <w:lang w:val="pl-PL"/>
        </w:rPr>
        <w:t>art. 383 § 2</w:t>
      </w:r>
      <w:r>
        <w:rPr>
          <w:rFonts w:ascii="Times New Roman"/>
          <w:b w:val="false"/>
          <w:i w:val="false"/>
          <w:color w:val="000000"/>
          <w:sz w:val="24"/>
          <w:lang w:val="pl-PL"/>
        </w:rPr>
        <w:t xml:space="preserve"> i </w:t>
      </w:r>
      <w:r>
        <w:rPr>
          <w:rFonts w:ascii="Times New Roman"/>
          <w:b w:val="false"/>
          <w:i w:val="false"/>
          <w:color w:val="1b1b1b"/>
          <w:sz w:val="24"/>
          <w:lang w:val="pl-PL"/>
        </w:rPr>
        <w:t>6</w:t>
      </w:r>
      <w:r>
        <w:rPr>
          <w:rFonts w:ascii="Times New Roman"/>
          <w:b w:val="false"/>
          <w:i w:val="false"/>
          <w:color w:val="000000"/>
          <w:sz w:val="24"/>
          <w:lang w:val="pl-PL"/>
        </w:rPr>
        <w:t xml:space="preserve"> oraz </w:t>
      </w:r>
      <w:r>
        <w:rPr>
          <w:rFonts w:ascii="Times New Roman"/>
          <w:b w:val="false"/>
          <w:i w:val="false"/>
          <w:color w:val="1b1b1b"/>
          <w:sz w:val="24"/>
          <w:lang w:val="pl-PL"/>
        </w:rPr>
        <w:t>art. 492 § 2</w:t>
      </w:r>
      <w:r>
        <w:rPr>
          <w:rFonts w:ascii="Times New Roman"/>
          <w:b w:val="false"/>
          <w:i w:val="false"/>
          <w:color w:val="000000"/>
          <w:sz w:val="24"/>
          <w:lang w:val="pl-PL"/>
        </w:rPr>
        <w:t xml:space="preserve"> i </w:t>
      </w:r>
      <w:r>
        <w:rPr>
          <w:rFonts w:ascii="Times New Roman"/>
          <w:b w:val="false"/>
          <w:i w:val="false"/>
          <w:color w:val="1b1b1b"/>
          <w:sz w:val="24"/>
          <w:lang w:val="pl-PL"/>
        </w:rPr>
        <w:t>5</w:t>
      </w:r>
      <w:r>
        <w:rPr>
          <w:rFonts w:ascii="Times New Roman"/>
          <w:b w:val="false"/>
          <w:i w:val="false"/>
          <w:color w:val="000000"/>
          <w:sz w:val="24"/>
          <w:lang w:val="pl-PL"/>
        </w:rPr>
        <w:t xml:space="preserve"> ustawy, o której mowa w art. 24b ust. 6, oraz </w:t>
      </w:r>
      <w:r>
        <w:rPr>
          <w:rFonts w:ascii="Times New Roman"/>
          <w:b w:val="false"/>
          <w:i w:val="false"/>
          <w:color w:val="1b1b1b"/>
          <w:sz w:val="24"/>
          <w:lang w:val="pl-PL"/>
        </w:rPr>
        <w:t>art. 5 ust. 2</w:t>
      </w:r>
      <w:r>
        <w:rPr>
          <w:rFonts w:ascii="Times New Roman"/>
          <w:b w:val="false"/>
          <w:i w:val="false"/>
          <w:color w:val="000000"/>
          <w:sz w:val="24"/>
          <w:lang w:val="pl-PL"/>
        </w:rPr>
        <w:t xml:space="preserve"> i </w:t>
      </w:r>
      <w:r>
        <w:rPr>
          <w:rFonts w:ascii="Times New Roman"/>
          <w:b w:val="false"/>
          <w:i w:val="false"/>
          <w:color w:val="1b1b1b"/>
          <w:sz w:val="24"/>
          <w:lang w:val="pl-PL"/>
        </w:rPr>
        <w:t>3</w:t>
      </w:r>
      <w:r>
        <w:rPr>
          <w:rFonts w:ascii="Times New Roman"/>
          <w:b w:val="false"/>
          <w:i w:val="false"/>
          <w:color w:val="000000"/>
          <w:sz w:val="24"/>
          <w:lang w:val="pl-PL"/>
        </w:rPr>
        <w:t xml:space="preserve"> ustawy z dnia 21 sierpnia 1997 r. o ograniczeniu prowadzenia działalności gospodarczej przez osoby pełniące funkcje publiczne, w zakresie dotyczącym odpowiednio wygaśnięcia mandatu radnego, wygaśnięcia mandatu wójta, odwołania ze stanowiska albo rozwiązania umowy o pracę z zastępcą wójta, sekretarzem gminy, skarbnikiem gminy, kierownikiem jednostki organizacyjnej gminy i osobą zarządzającą lub członkiem organu zarządzającego gminną osobą prawną, nie podejmuje uchwały, nie odwołuje ze stanowiska lub nie rozwiązuje umowy o pracę, wojewoda wzywa organ gminy do podjęcia odpowiedniego aktu w terminie 30 dni.</w:t>
      </w:r>
    </w:p>
    <w:p>
      <w:pPr>
        <w:spacing w:before="26" w:after="0"/>
        <w:ind w:left="0"/>
        <w:jc w:val="left"/>
        <w:textAlignment w:val="auto"/>
      </w:pPr>
      <w:r>
        <w:rPr>
          <w:rFonts w:ascii="Times New Roman"/>
          <w:b w:val="false"/>
          <w:i w:val="false"/>
          <w:color w:val="000000"/>
          <w:sz w:val="24"/>
          <w:lang w:val="pl-PL"/>
        </w:rPr>
        <w:t>1a.</w:t>
      </w:r>
      <w:r>
        <w:rPr>
          <w:rFonts w:ascii="Times New Roman"/>
          <w:b w:val="false"/>
          <w:i w:val="false"/>
          <w:color w:val="000000"/>
          <w:sz w:val="24"/>
          <w:lang w:val="pl-PL"/>
        </w:rPr>
        <w:t xml:space="preserve"> Przepis ust. 1 stosuje się odpowiednio do obowiązków, o których mowa w </w:t>
      </w:r>
      <w:r>
        <w:rPr>
          <w:rFonts w:ascii="Times New Roman"/>
          <w:b w:val="false"/>
          <w:i w:val="false"/>
          <w:color w:val="1b1b1b"/>
          <w:sz w:val="24"/>
          <w:lang w:val="pl-PL"/>
        </w:rPr>
        <w:t>art. 6a</w:t>
      </w:r>
      <w:r>
        <w:rPr>
          <w:rFonts w:ascii="Times New Roman"/>
          <w:b w:val="false"/>
          <w:i w:val="false"/>
          <w:color w:val="000000"/>
          <w:sz w:val="24"/>
          <w:lang w:val="pl-PL"/>
        </w:rPr>
        <w:t xml:space="preserve"> ustawy z dnia 21 listopada 2008 r. o pracownikach samorządowych (Dz. U. z 2024 r. poz. 1135).</w:t>
      </w: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W razie bezskutecznego upływu terminu określonego w ust. 1, wojewoda, po powiadomieniu ministra właściwego do spraw administracji publicznej, wydaje zarządzenie zastępcze.</w:t>
      </w:r>
    </w:p>
    <w:p>
      <w:pPr>
        <w:spacing w:before="26" w:after="0"/>
        <w:ind w:left="0"/>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Przepis art. 98 stosuje się odpowiednio, z tym że uprawniona do złożenia skargi jest również osoba, której interesu prawnego lub uprawnienia dotyczy zarządzenie zastępcze.</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99.</w:t>
      </w:r>
      <w:r>
        <w:rPr>
          <w:rFonts w:ascii="Times New Roman"/>
          <w:b/>
          <w:i w:val="false"/>
          <w:color w:val="000000"/>
          <w:sz w:val="24"/>
          <w:lang w:val="pl-PL"/>
        </w:rPr>
        <w:t xml:space="preserve"> [Nadzór nad związkami i porozumieniami międzygminnymi]</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(uchylony).</w:t>
      </w:r>
    </w:p>
    <w:p>
      <w:pPr>
        <w:spacing w:before="26" w:after="0"/>
        <w:ind w:left="0"/>
        <w:jc w:val="left"/>
        <w:textAlignment w:val="auto"/>
      </w:pPr>
      <w:r>
        <w:rPr>
          <w:rFonts w:ascii="Times New Roman"/>
          <w:b w:val="false"/>
          <w:i w:val="false"/>
          <w:color w:val="000000"/>
          <w:sz w:val="24"/>
          <w:lang w:val="pl-PL"/>
        </w:rPr>
        <w:t>1a.</w:t>
      </w:r>
      <w:r>
        <w:rPr>
          <w:rFonts w:ascii="Times New Roman"/>
          <w:b w:val="false"/>
          <w:i w:val="false"/>
          <w:color w:val="000000"/>
          <w:sz w:val="24"/>
          <w:lang w:val="pl-PL"/>
        </w:rPr>
        <w:t> Przepisy o nadzorze nad gminami stosuje się odpowiednio do związków i porozumień międzygminnych.</w:t>
      </w: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W sprawach związków i porozumień międzygminnych, wykraczających poza granice województwa, organy nadzorcze działają w zakresie swojej właściwości miejscowej i za pośrednictwem organów nadzorczych właściwych ze względu na siedzibę władz związku lub porozumienia, chyba że statut związku lub porozumienie przekazuje uprawnienia nadzorcze Prezesowi Rady Ministrów.</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100.</w:t>
      </w:r>
      <w:r>
        <w:rPr>
          <w:rFonts w:ascii="Times New Roman"/>
          <w:b/>
          <w:i w:val="false"/>
          <w:color w:val="000000"/>
          <w:sz w:val="24"/>
          <w:lang w:val="pl-PL"/>
        </w:rPr>
        <w:t xml:space="preserve"> [Zwolnienie z opłat sądowych]</w:t>
      </w:r>
    </w:p>
    <w:p>
      <w:pPr>
        <w:spacing w:after="0"/>
        <w:ind w:left="0"/>
        <w:jc w:val="left"/>
        <w:textAlignment w:val="auto"/>
      </w:pPr>
      <w:r>
        <w:rPr>
          <w:rFonts w:ascii="Times New Roman"/>
          <w:b w:val="false"/>
          <w:i w:val="false"/>
          <w:color w:val="000000"/>
          <w:sz w:val="24"/>
          <w:lang w:val="pl-PL"/>
        </w:rPr>
        <w:t xml:space="preserve"> </w:t>
      </w:r>
      <w:r>
        <w:rPr>
          <w:rFonts w:ascii="Times New Roman"/>
          <w:b/>
          <w:i w:val="false"/>
          <w:color w:val="000000"/>
          <w:sz w:val="24"/>
          <w:lang w:val="pl-PL"/>
        </w:rPr>
        <w:t> </w:t>
      </w:r>
      <w:r>
        <w:rPr>
          <w:rFonts w:ascii="Times New Roman"/>
          <w:b w:val="false"/>
          <w:i w:val="false"/>
          <w:color w:val="000000"/>
          <w:sz w:val="24"/>
          <w:lang w:val="pl-PL"/>
        </w:rPr>
        <w:t>Postępowanie sądowe, o którym mowa w artykułach poprzedzających, jest wolne od opłat sądowych.</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101.</w:t>
      </w:r>
      <w:r>
        <w:rPr>
          <w:rFonts w:ascii="Times New Roman"/>
          <w:b/>
          <w:i w:val="false"/>
          <w:color w:val="000000"/>
          <w:sz w:val="24"/>
          <w:lang w:val="pl-PL"/>
        </w:rPr>
        <w:t xml:space="preserve"> [Skarga na uchwały i zarządzenia w sprawach z zakresu administracji publicznej]</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Każdy, czyj interes prawny lub uprawnienie zostały naruszone uchwałą lub zarządzeniem, podjętymi przez organ gminy w sprawie z zakresu administracji publicznej, może zaskarżyć uchwałę lub zarządzenie do sądu administracyjnego.</w:t>
      </w: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Przepisu ust. 1 nie stosuje się, jeżeli w sprawie orzekał już sąd administracyjny i skargę oddalił.</w:t>
      </w:r>
    </w:p>
    <w:p>
      <w:pPr>
        <w:spacing w:before="26" w:after="0"/>
        <w:ind w:left="0"/>
        <w:jc w:val="left"/>
        <w:textAlignment w:val="auto"/>
      </w:pPr>
      <w:r>
        <w:rPr>
          <w:rFonts w:ascii="Times New Roman"/>
          <w:b w:val="false"/>
          <w:i w:val="false"/>
          <w:color w:val="000000"/>
          <w:sz w:val="24"/>
          <w:lang w:val="pl-PL"/>
        </w:rPr>
        <w:t>2a.</w:t>
      </w:r>
      <w:r>
        <w:rPr>
          <w:rFonts w:ascii="Times New Roman"/>
          <w:b w:val="false"/>
          <w:i w:val="false"/>
          <w:color w:val="000000"/>
          <w:sz w:val="24"/>
          <w:lang w:val="pl-PL"/>
        </w:rPr>
        <w:t> Skargę na uchwałę lub zarządzenie, o których mowa w ust. 1, można wnieść do sądu administracyjnego w imieniu własnym lub reprezentując grupę mieszkańców gminy, którzy na to wyrażą pisemną zgodę.</w:t>
      </w:r>
    </w:p>
    <w:p>
      <w:pPr>
        <w:spacing w:before="26" w:after="0"/>
        <w:ind w:left="0"/>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(uchylony).</w:t>
      </w:r>
    </w:p>
    <w:p>
      <w:pPr>
        <w:spacing w:before="26" w:after="0"/>
        <w:ind w:left="0"/>
        <w:jc w:val="left"/>
        <w:textAlignment w:val="auto"/>
      </w:pPr>
      <w:r>
        <w:rPr>
          <w:rFonts w:ascii="Times New Roman"/>
          <w:b w:val="false"/>
          <w:i w:val="false"/>
          <w:color w:val="000000"/>
          <w:sz w:val="24"/>
          <w:lang w:val="pl-PL"/>
        </w:rPr>
        <w:t>4.</w:t>
      </w:r>
      <w:r>
        <w:rPr>
          <w:rFonts w:ascii="Times New Roman"/>
          <w:b w:val="false"/>
          <w:i w:val="false"/>
          <w:color w:val="000000"/>
          <w:sz w:val="24"/>
          <w:lang w:val="pl-PL"/>
        </w:rPr>
        <w:t> W sprawach, o których mowa w ust. 1, stosuje się odpowiednio art. 94.</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101a.</w:t>
      </w:r>
      <w:r>
        <w:rPr>
          <w:rFonts w:ascii="Times New Roman"/>
          <w:b/>
          <w:i w:val="false"/>
          <w:color w:val="000000"/>
          <w:sz w:val="24"/>
          <w:lang w:val="pl-PL"/>
        </w:rPr>
        <w:t xml:space="preserve"> [Skarga na bezczynność organów gminy]</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Przepisy art. 101 stosuje się odpowiednio, gdy organ gminy nie wykonuje czynności nakazanych prawem albo przez podejmowane czynności prawne lub faktyczne narusza prawa osób trzecich.</w:t>
      </w: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W przypadkach, o których mowa w ust. 1, sąd administracyjny może nakazać organowi nadzoru wykonanie niezbędnych czynności na rzecz skarżącego, na koszt i ryzyko gminy.</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102.</w:t>
      </w:r>
      <w:r>
        <w:rPr>
          <w:rFonts w:ascii="Times New Roman"/>
          <w:b/>
          <w:i w:val="false"/>
          <w:color w:val="000000"/>
          <w:sz w:val="24"/>
          <w:lang w:val="pl-PL"/>
        </w:rPr>
        <w:t xml:space="preserve"> [Wyłączenie stosowania nadzoru do decyzji indywidualnych]</w:t>
      </w:r>
    </w:p>
    <w:p>
      <w:pPr>
        <w:spacing w:after="0"/>
        <w:ind w:left="0"/>
        <w:jc w:val="left"/>
        <w:textAlignment w:val="auto"/>
      </w:pPr>
      <w:r>
        <w:rPr>
          <w:rFonts w:ascii="Times New Roman"/>
          <w:b w:val="false"/>
          <w:i w:val="false"/>
          <w:color w:val="000000"/>
          <w:sz w:val="24"/>
          <w:lang w:val="pl-PL"/>
        </w:rPr>
        <w:t xml:space="preserve"> </w:t>
      </w:r>
      <w:r>
        <w:rPr>
          <w:rFonts w:ascii="Times New Roman"/>
          <w:b/>
          <w:i w:val="false"/>
          <w:color w:val="000000"/>
          <w:sz w:val="24"/>
          <w:lang w:val="pl-PL"/>
        </w:rPr>
        <w:t> </w:t>
      </w:r>
      <w:r>
        <w:rPr>
          <w:rFonts w:ascii="Times New Roman"/>
          <w:b w:val="false"/>
          <w:i w:val="false"/>
          <w:color w:val="000000"/>
          <w:sz w:val="24"/>
          <w:lang w:val="pl-PL"/>
        </w:rPr>
        <w:t xml:space="preserve">Przepisów rozdziału niniejszego nie stosuje się do decyzji indywidualnych w sprawach z zakresu administracji publicznej, wydawanych przez organy gmin, ich związków lub samorządowe kolegia odwoławcze. Kontrolę instancyjną w tym zakresie oraz nadzór pozainstancyjny i kontrolę sprawowaną przez sąd określają </w:t>
      </w:r>
      <w:r>
        <w:rPr>
          <w:rFonts w:ascii="Times New Roman"/>
          <w:b w:val="false"/>
          <w:i w:val="false"/>
          <w:color w:val="1b1b1b"/>
          <w:sz w:val="24"/>
          <w:lang w:val="pl-PL"/>
        </w:rPr>
        <w:t>przepisy</w:t>
      </w:r>
      <w:r>
        <w:rPr>
          <w:rFonts w:ascii="Times New Roman"/>
          <w:b w:val="false"/>
          <w:i w:val="false"/>
          <w:color w:val="000000"/>
          <w:sz w:val="24"/>
          <w:lang w:val="pl-PL"/>
        </w:rPr>
        <w:t xml:space="preserve"> odrębne.</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102a.</w:t>
      </w:r>
    </w:p>
    <w:p>
      <w:pPr>
        <w:spacing w:after="0"/>
        <w:ind w:left="0"/>
        <w:jc w:val="left"/>
        <w:textAlignment w:val="auto"/>
      </w:pPr>
      <w:r>
        <w:rPr>
          <w:rFonts w:ascii="Times New Roman"/>
          <w:b w:val="false"/>
          <w:i w:val="false"/>
          <w:color w:val="000000"/>
          <w:sz w:val="24"/>
          <w:lang w:val="pl-PL"/>
        </w:rPr>
        <w:t> (uchylony).</w:t>
      </w:r>
    </w:p>
    <w:p>
      <w:pPr>
        <w:spacing w:after="0"/>
        <w:ind w:left="0"/>
        <w:jc w:val="left"/>
        <w:textAlignment w:val="auto"/>
      </w:pPr>
    </w:p>
    <w:p>
      <w:pPr>
        <w:spacing w:before="89" w:after="0"/>
        <w:ind w:left="0"/>
        <w:jc w:val="center"/>
        <w:textAlignment w:val="auto"/>
      </w:pPr>
      <w:r>
        <w:rPr>
          <w:rFonts w:ascii="Times New Roman"/>
          <w:b/>
          <w:i w:val="false"/>
          <w:color w:val="000000"/>
          <w:sz w:val="24"/>
          <w:lang w:val="pl-PL"/>
        </w:rPr>
        <w:t>Rozdział  11</w:t>
      </w:r>
    </w:p>
    <w:p>
      <w:pPr>
        <w:spacing w:before="25" w:after="0"/>
        <w:ind w:left="0"/>
        <w:jc w:val="center"/>
        <w:textAlignment w:val="auto"/>
      </w:pPr>
      <w:r>
        <w:rPr>
          <w:rFonts w:ascii="Times New Roman"/>
          <w:b/>
          <w:i w:val="false"/>
          <w:color w:val="000000"/>
          <w:sz w:val="24"/>
          <w:lang w:val="pl-PL"/>
        </w:rPr>
        <w:t>Przepis końcowy</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103.</w:t>
      </w:r>
      <w:r>
        <w:rPr>
          <w:rFonts w:ascii="Times New Roman"/>
          <w:b/>
          <w:i w:val="false"/>
          <w:color w:val="000000"/>
          <w:sz w:val="24"/>
          <w:lang w:val="pl-PL"/>
        </w:rPr>
        <w:t xml:space="preserve"> [Wejście w życie ustawy]</w:t>
      </w:r>
    </w:p>
    <w:p>
      <w:pPr>
        <w:spacing w:after="0"/>
        <w:ind w:left="0"/>
        <w:jc w:val="left"/>
        <w:textAlignment w:val="auto"/>
      </w:pPr>
      <w:r>
        <w:rPr>
          <w:rFonts w:ascii="Times New Roman"/>
          <w:b w:val="false"/>
          <w:i w:val="false"/>
          <w:color w:val="000000"/>
          <w:sz w:val="24"/>
          <w:lang w:val="pl-PL"/>
        </w:rPr>
        <w:t xml:space="preserve"> </w:t>
      </w:r>
      <w:r>
        <w:rPr>
          <w:rFonts w:ascii="Times New Roman"/>
          <w:b/>
          <w:i w:val="false"/>
          <w:color w:val="000000"/>
          <w:sz w:val="24"/>
          <w:lang w:val="pl-PL"/>
        </w:rPr>
        <w:t> </w:t>
      </w:r>
      <w:r>
        <w:rPr>
          <w:rFonts w:ascii="Times New Roman"/>
          <w:b w:val="false"/>
          <w:i w:val="false"/>
          <w:color w:val="000000"/>
          <w:sz w:val="24"/>
          <w:lang w:val="pl-PL"/>
        </w:rPr>
        <w:t xml:space="preserve">Ustawa wchodzi w życie w terminie </w:t>
      </w:r>
      <w:r>
        <w:rPr>
          <w:rFonts w:ascii="Times New Roman"/>
          <w:b w:val="false"/>
          <w:i w:val="false"/>
          <w:color w:val="000000"/>
          <w:sz w:val="24"/>
          <w:vertAlign w:val="superscript"/>
          <w:lang w:val="pl-PL"/>
        </w:rPr>
        <w:t>1</w:t>
      </w:r>
      <w:r>
        <w:rPr>
          <w:rFonts w:ascii="Times New Roman"/>
          <w:b w:val="false"/>
          <w:i w:val="false"/>
          <w:color w:val="000000"/>
          <w:sz w:val="24"/>
          <w:lang w:val="pl-PL"/>
        </w:rPr>
        <w:t xml:space="preserve"> i na zasadach określonych </w:t>
      </w:r>
      <w:r>
        <w:rPr>
          <w:rFonts w:ascii="Times New Roman"/>
          <w:b w:val="false"/>
          <w:i w:val="false"/>
          <w:color w:val="1b1b1b"/>
          <w:sz w:val="24"/>
          <w:lang w:val="pl-PL"/>
        </w:rPr>
        <w:t>ustawą</w:t>
      </w:r>
      <w:r>
        <w:rPr>
          <w:rFonts w:ascii="Times New Roman"/>
          <w:b w:val="false"/>
          <w:i w:val="false"/>
          <w:color w:val="000000"/>
          <w:sz w:val="24"/>
          <w:lang w:val="pl-PL"/>
        </w:rPr>
        <w:t xml:space="preserve"> - Przepisy wprowadzające ustawę o samorządzie terytorialnym, z wyjątkiem art. 5 ust. 4 i art. 17, które wchodzą w życie z dniem ogłoszenia </w:t>
      </w:r>
      <w:r>
        <w:rPr>
          <w:rFonts w:ascii="Times New Roman"/>
          <w:b w:val="false"/>
          <w:i w:val="false"/>
          <w:color w:val="000000"/>
          <w:sz w:val="24"/>
          <w:vertAlign w:val="superscript"/>
          <w:lang w:val="pl-PL"/>
        </w:rPr>
        <w:t>2</w:t>
      </w:r>
      <w:r>
        <w:rPr>
          <w:rFonts w:ascii="Times New Roman"/>
          <w:b w:val="false"/>
          <w:i w:val="false"/>
          <w:color w:val="000000"/>
          <w:sz w:val="24"/>
          <w:lang w:val="pl-PL"/>
        </w:rPr>
        <w:t xml:space="preserve"> .</w:t>
      </w:r>
    </w:p>
    <w:p>
      <w:pPr>
        <w:spacing w:before="250" w:after="0"/>
        <w:ind w:left="0"/>
        <w:jc w:val="left"/>
        <w:textAlignment w:val="auto"/>
      </w:pPr>
      <w:r>
        <w:rPr>
          <w:rFonts w:ascii="Times New Roman"/>
          <w:b w:val="false"/>
          <w:i w:val="false"/>
          <w:color w:val="000000"/>
          <w:sz w:val="24"/>
          <w:vertAlign w:val="superscript"/>
          <w:lang w:val="pl-PL"/>
        </w:rPr>
        <w:t>1</w:t>
      </w:r>
      <w:r>
        <w:rPr>
          <w:rFonts w:ascii="Times New Roman"/>
          <w:b w:val="false"/>
          <w:i w:val="false"/>
          <w:color w:val="000000"/>
          <w:sz w:val="24"/>
          <w:lang w:val="pl-PL"/>
        </w:rPr>
        <w:t xml:space="preserve"> Ustawa weszła w życie z dniem 27 maja 1990 r. na podstawie </w:t>
      </w:r>
      <w:r>
        <w:rPr>
          <w:rFonts w:ascii="Times New Roman"/>
          <w:b w:val="false"/>
          <w:i w:val="false"/>
          <w:color w:val="1b1b1b"/>
          <w:sz w:val="24"/>
          <w:lang w:val="pl-PL"/>
        </w:rPr>
        <w:t>art. 1</w:t>
      </w:r>
      <w:r>
        <w:rPr>
          <w:rFonts w:ascii="Times New Roman"/>
          <w:b w:val="false"/>
          <w:i w:val="false"/>
          <w:color w:val="000000"/>
          <w:sz w:val="24"/>
          <w:lang w:val="pl-PL"/>
        </w:rPr>
        <w:t xml:space="preserve"> ustawy z dnia 10 maja 1990 r. - Przepisy wprowadzające ustawę o samorządzie terytorialnym i ustawę o pracownikach samorządowych (Dz. U. poz. 191, 253 i 541, z 1991 r. poz. 151, z 1992 r. poz. 20, z 1993 r. poz. 180, z 1994 r. poz. 3 i 285, z 1996 r. poz. 102 i 496, z 1997 r. poz. 43, z 2002 r. poz. 1271, z 2004 r. poz. 1492, z 2017 r. poz. 653 oraz z 2020 r. poz. 462), która weszła w życie z dniem 27 maja 1990 r</w:t>
      </w:r>
    </w:p>
    <w:p>
      <w:pPr>
        <w:spacing w:after="0"/>
        <w:ind w:left="0"/>
        <w:jc w:val="left"/>
        <w:textAlignment w:val="auto"/>
      </w:pPr>
      <w:r>
        <w:rPr>
          <w:rFonts w:ascii="Times New Roman"/>
          <w:b w:val="false"/>
          <w:i w:val="false"/>
          <w:color w:val="000000"/>
          <w:sz w:val="24"/>
          <w:vertAlign w:val="superscript"/>
          <w:lang w:val="pl-PL"/>
        </w:rPr>
        <w:t>2</w:t>
      </w:r>
      <w:r>
        <w:rPr>
          <w:rFonts w:ascii="Times New Roman"/>
          <w:b w:val="false"/>
          <w:i w:val="false"/>
          <w:color w:val="000000"/>
          <w:sz w:val="24"/>
          <w:lang w:val="pl-PL"/>
        </w:rPr>
        <w:t> Ustawa została ogłoszona w dniu 19 marca 1990 r.</w:t>
      </w:r>
    </w:p>
    <w:sectPr>
      <w:pgSz w:w="11907" w:h="16839" w:code="9"/>
      <w:pgMar w:top="1440" w:right="1440" w:bottom="1440" w:left="1440"/>
    </w:sectPr>
  </w:body>
</w:document>
</file>

<file path=word/numbering.xml><?xml version="1.0" encoding="utf-8"?>
<w:numbering xmlns:w="http://schemas.openxmlformats.org/wordprocessingml/2006/main" xmlns:m="http://schemas.openxmlformats.org/officeDocument/2006/math" xmlns:w14="http://schemas.microsoft.com/office/word/2010/wordml" xmlns:r="http://schemas.openxmlformats.org/officeDocument/2006/relationships" xmlns:wp="http://schemas.openxmlformats.org/drawingml/2006/wordprocessingDrawing" xmlns:a="http://schemas.openxmlformats.org/drawingml/2006/main" xmlns:wp14="http://schemas.microsoft.com/office/word/2010/wordprocessingDrawing" xmlns:w15="http://schemas.microsoft.com/office/word/2012/wordml" xmlns:mc="http://schemas.openxmlformats.org/markup-compatibility/2006" xmlns:a14="http://schemas.microsoft.com/office/drawing/2010/main" xmlns:sl="http://schemas.openxmlformats.org/schemaLibrary/2006/main" xmlns:wne="http://schemas.microsoft.com/office/word/2006/wordml" xmlns:c="http://schemas.openxmlformats.org/drawingml/2006/chart" xmlns:cdr="http://schemas.openxmlformats.org/drawingml/2006/chartDrawing" xmlns:c14="http://schemas.microsoft.com/office/drawing/2007/8/2/chart" xmlns:dgm="http://schemas.openxmlformats.org/drawingml/2006/diagram" xmlns:pic="http://schemas.openxmlformats.org/drawingml/2006/picture" xmlns:xdr="http://schemas.openxmlformats.org/drawingml/2006/spreadsheetDrawing" xmlns:dsp="http://schemas.microsoft.com/office/drawing/2008/diagram" xmlns:xvml="urn:schemas-microsoft-com:office:excel" xmlns:o="urn:schemas-microsoft-com:office:office" xmlns:w10="urn:schemas-microsoft-com:office:word" xmlns:v="urn:schemas-microsoft-com:vml" xmlns:pvml="urn:schemas-microsoft-com:office:powerpoint" xmlns:cppr="http://schemas.microsoft.com/office/2006/coverPageProps" xmlns:odx="http://opendope.org/xpaths" xmlns:odc="http://opendope.org/conditions" xmlns:odq="http://opendope.org/questions" xmlns:oda="http://opendope.org/answers" xmlns:odi="http://opendope.org/components" xmlns:odgm="http://opendope.org/SmartArt/DataHierarchy" xmlns:b="http://schemas.openxmlformats.org/officeDocument/2006/bibliography" xmlns:msink="http://schemas.microsoft.com/ink/2010/main" xmlns:cdr14="http://schemas.microsoft.com/office/drawing/2010/chartDrawing" xmlns:c15="http://schemas.microsoft.com/office/drawing/2012/chart" xmlns:cs="http://schemas.microsoft.com/office/drawing/2012/chartStyle" xmlns:ns38="http://www.w3.org/1998/Math/MathML" xmlns:ns39="http://www.w3.org/2003/InkML" xmlns:a13cmd="http://schemas.microsoft.com/office/drawing/2013/main/command" xmlns:cx="http://schemas.microsoft.com/office/drawing/2014/chartex" xmlns:c16="http://schemas.microsoft.com/office/drawing/2014/chart" xmlns:dgm1611="http://schemas.microsoft.com/office/drawing/2016/11/diagram" xmlns:c173="http://schemas.microsoft.com/office/drawing/2017/03/chart" xmlns:am3d="http://schemas.microsoft.com/office/drawing/2017/model3d" xmlns:an18="http://schemas.microsoft.com/office/drawing/2018/animation" xmlns:anam3d="http://schemas.microsoft.com/office/drawing/2018/animation/model3d" xmlns:iact="http://schemas.microsoft.com/office/powerpoint/2014/inkAction" xmlns:thm15="http://schemas.microsoft.com/office/thememl/2012/main" xmlns:wps="http://schemas.microsoft.com/office/word/2010/wordprocessingShape" xmlns:wpc="http://schemas.microsoft.com/office/word/2010/wordprocessingCanvas" xmlns:wpg="http://schemas.microsoft.com/office/word/2010/wordprocessingGroup" xmlns:w16se="http://schemas.microsoft.com/office/word/2015/wordml/symex" xmlns:w16cid="http://schemas.microsoft.com/office/word/2016/wordml/cid" xmlns:wetp="http://schemas.microsoft.com/office/webextensions/taskpanes/2010/11" xmlns:we="http://schemas.microsoft.com/office/webextensions/webextension/2010/11" xmlns:comp="http://schemas.openxmlformats.org/drawingml/2006/compatibility" xmlns:lc="http://schemas.openxmlformats.org/drawingml/2006/lockedCanvas" xmlns:dgm14="http://schemas.microsoft.com/office/drawing/2010/diagram" xmlns:a15="http://schemas.microsoft.com/office/drawing/2012/main" xmlns:pic14="http://schemas.microsoft.com/office/drawing/2010/picture" xmlns:c16ac="http://schemas.microsoft.com/office/drawing/2014/chart/ac" xmlns:a16="http://schemas.microsoft.com/office/drawing/2014/main" xmlns:a1611="http://schemas.microsoft.com/office/drawing/2016/11/main" xmlns:dgm1612="http://schemas.microsoft.com/office/drawing/2016/12/diagram" xmlns:a16svg="http://schemas.microsoft.com/office/drawing/2016/SVG/main" xmlns:adec="http://schemas.microsoft.com/office/drawing/2017/decorative" xmlns:a18hc="http://schemas.microsoft.com/office/drawing/2018/hyperlinkcolor" xmlns:wp15="http://schemas.microsoft.com/office/word/2012/wordprocessingDrawing">
  <w:abstractNum w:abstractNumId="1">
    <w:multiLevelType w:val="multilevel"/>
    <w:lvl w:ilvl="0">
      <w:start w:val="1"/>
      <w:numFmt w:val="none"/>
      <w:lvlText w:val=""/>
      <w:lvlJc w:val="left"/>
      <w:pPr>
        <w:ind w:left="0"/>
      </w:pPr>
    </w:lvl>
    <w:lvl w:ilvl="1">
      <w:start w:val="1"/>
      <w:numFmt w:val="none"/>
      <w:lvlText w:val=""/>
      <w:lvlJc w:val="left"/>
      <w:pPr>
        <w:ind w:left="0"/>
      </w:pPr>
    </w:lvl>
  </w:abstractNum>
  <w:num w:numId="1">
    <w:abstractNumId w:val="1"/>
  </w:num>
</w:numbering>
</file>

<file path=word/settings.xml><?xml version="1.0" encoding="utf-8"?>
<w:settings xmlns:w="http://schemas.openxmlformats.org/wordprocessingml/2006/main" xmlns:m="http://schemas.openxmlformats.org/officeDocument/2006/math" xmlns:w14="http://schemas.microsoft.com/office/word/2010/wordml" xmlns:r="http://schemas.openxmlformats.org/officeDocument/2006/relationships" xmlns:wp="http://schemas.openxmlformats.org/drawingml/2006/wordprocessingDrawing" xmlns:a="http://schemas.openxmlformats.org/drawingml/2006/main" xmlns:wp14="http://schemas.microsoft.com/office/word/2010/wordprocessingDrawing" xmlns:w15="http://schemas.microsoft.com/office/word/2012/wordml" xmlns:mc="http://schemas.openxmlformats.org/markup-compatibility/2006" xmlns:a14="http://schemas.microsoft.com/office/drawing/2010/main" xmlns:sl="http://schemas.openxmlformats.org/schemaLibrary/2006/main" xmlns:wne="http://schemas.microsoft.com/office/word/2006/wordml" xmlns:c="http://schemas.openxmlformats.org/drawingml/2006/chart" xmlns:cdr="http://schemas.openxmlformats.org/drawingml/2006/chartDrawing" xmlns:c14="http://schemas.microsoft.com/office/drawing/2007/8/2/chart" xmlns:dgm="http://schemas.openxmlformats.org/drawingml/2006/diagram" xmlns:pic="http://schemas.openxmlformats.org/drawingml/2006/picture" xmlns:xdr="http://schemas.openxmlformats.org/drawingml/2006/spreadsheetDrawing" xmlns:dsp="http://schemas.microsoft.com/office/drawing/2008/diagram" xmlns:xvml="urn:schemas-microsoft-com:office:excel" xmlns:o="urn:schemas-microsoft-com:office:office" xmlns:w10="urn:schemas-microsoft-com:office:word" xmlns:v="urn:schemas-microsoft-com:vml" xmlns:pvml="urn:schemas-microsoft-com:office:powerpoint" xmlns:cppr="http://schemas.microsoft.com/office/2006/coverPageProps" xmlns:odx="http://opendope.org/xpaths" xmlns:odc="http://opendope.org/conditions" xmlns:odq="http://opendope.org/questions" xmlns:oda="http://opendope.org/answers" xmlns:odi="http://opendope.org/components" xmlns:odgm="http://opendope.org/SmartArt/DataHierarchy" xmlns:b="http://schemas.openxmlformats.org/officeDocument/2006/bibliography" xmlns:msink="http://schemas.microsoft.com/ink/2010/main" xmlns:cdr14="http://schemas.microsoft.com/office/drawing/2010/chartDrawing" xmlns:c15="http://schemas.microsoft.com/office/drawing/2012/chart" xmlns:cs="http://schemas.microsoft.com/office/drawing/2012/chartStyle" xmlns:ns38="http://www.w3.org/1998/Math/MathML" xmlns:ns39="http://www.w3.org/2003/InkML" xmlns:a13cmd="http://schemas.microsoft.com/office/drawing/2013/main/command" xmlns:cx="http://schemas.microsoft.com/office/drawing/2014/chartex" xmlns:c16="http://schemas.microsoft.com/office/drawing/2014/chart" xmlns:dgm1611="http://schemas.microsoft.com/office/drawing/2016/11/diagram" xmlns:c173="http://schemas.microsoft.com/office/drawing/2017/03/chart" xmlns:am3d="http://schemas.microsoft.com/office/drawing/2017/model3d" xmlns:an18="http://schemas.microsoft.com/office/drawing/2018/animation" xmlns:anam3d="http://schemas.microsoft.com/office/drawing/2018/animation/model3d" xmlns:iact="http://schemas.microsoft.com/office/powerpoint/2014/inkAction" xmlns:thm15="http://schemas.microsoft.com/office/thememl/2012/main" xmlns:wps="http://schemas.microsoft.com/office/word/2010/wordprocessingShape" xmlns:wpc="http://schemas.microsoft.com/office/word/2010/wordprocessingCanvas" xmlns:wpg="http://schemas.microsoft.com/office/word/2010/wordprocessingGroup" xmlns:w16se="http://schemas.microsoft.com/office/word/2015/wordml/symex" xmlns:w16cid="http://schemas.microsoft.com/office/word/2016/wordml/cid" xmlns:wetp="http://schemas.microsoft.com/office/webextensions/taskpanes/2010/11" xmlns:we="http://schemas.microsoft.com/office/webextensions/webextension/2010/11" xmlns:comp="http://schemas.openxmlformats.org/drawingml/2006/compatibility" xmlns:lc="http://schemas.openxmlformats.org/drawingml/2006/lockedCanvas" xmlns:dgm14="http://schemas.microsoft.com/office/drawing/2010/diagram" xmlns:a15="http://schemas.microsoft.com/office/drawing/2012/main" xmlns:pic14="http://schemas.microsoft.com/office/drawing/2010/picture" xmlns:c16ac="http://schemas.microsoft.com/office/drawing/2014/chart/ac" xmlns:a16="http://schemas.microsoft.com/office/drawing/2014/main" xmlns:a1611="http://schemas.microsoft.com/office/drawing/2016/11/main" xmlns:dgm1612="http://schemas.microsoft.com/office/drawing/2016/12/diagram" xmlns:a16svg="http://schemas.microsoft.com/office/drawing/2016/SVG/main" xmlns:adec="http://schemas.microsoft.com/office/drawing/2017/decorative" xmlns:a18hc="http://schemas.microsoft.com/office/drawing/2018/hyperlinkcolor" xmlns:wp15="http://schemas.microsoft.com/office/word/2012/wordprocessingDrawing" mc:Ignorable="">
  <w:compat>
    <w:compatSetting w:name="overrideTableStyleFontSizeAndJustification" w:uri="http://schemas.microsoft.com/office/word" w:val="1"/>
  </w:compat>
</w:settings>
</file>

<file path=word/styles.xml><?xml version="1.0" encoding="utf-8"?>
<w:styles xmlns:w="http://schemas.openxmlformats.org/wordprocessingml/2006/main" xmlns:m="http://schemas.openxmlformats.org/officeDocument/2006/math" xmlns:w14="http://schemas.microsoft.com/office/word/2010/wordml" xmlns:r="http://schemas.openxmlformats.org/officeDocument/2006/relationships" xmlns:wp="http://schemas.openxmlformats.org/drawingml/2006/wordprocessingDrawing" xmlns:a="http://schemas.openxmlformats.org/drawingml/2006/main" xmlns:wp14="http://schemas.microsoft.com/office/word/2010/wordprocessingDrawing" xmlns:w15="http://schemas.microsoft.com/office/word/2012/wordml" xmlns:mc="http://schemas.openxmlformats.org/markup-compatibility/2006" xmlns:a14="http://schemas.microsoft.com/office/drawing/2010/main" xmlns:sl="http://schemas.openxmlformats.org/schemaLibrary/2006/main" xmlns:wne="http://schemas.microsoft.com/office/word/2006/wordml" xmlns:c="http://schemas.openxmlformats.org/drawingml/2006/chart" xmlns:cdr="http://schemas.openxmlformats.org/drawingml/2006/chartDrawing" xmlns:c14="http://schemas.microsoft.com/office/drawing/2007/8/2/chart" xmlns:dgm="http://schemas.openxmlformats.org/drawingml/2006/diagram" xmlns:pic="http://schemas.openxmlformats.org/drawingml/2006/picture" xmlns:xdr="http://schemas.openxmlformats.org/drawingml/2006/spreadsheetDrawing" xmlns:dsp="http://schemas.microsoft.com/office/drawing/2008/diagram" xmlns:xvml="urn:schemas-microsoft-com:office:excel" xmlns:o="urn:schemas-microsoft-com:office:office" xmlns:w10="urn:schemas-microsoft-com:office:word" xmlns:v="urn:schemas-microsoft-com:vml" xmlns:pvml="urn:schemas-microsoft-com:office:powerpoint" xmlns:cppr="http://schemas.microsoft.com/office/2006/coverPageProps" xmlns:odx="http://opendope.org/xpaths" xmlns:odc="http://opendope.org/conditions" xmlns:odq="http://opendope.org/questions" xmlns:oda="http://opendope.org/answers" xmlns:odi="http://opendope.org/components" xmlns:odgm="http://opendope.org/SmartArt/DataHierarchy" xmlns:b="http://schemas.openxmlformats.org/officeDocument/2006/bibliography" xmlns:msink="http://schemas.microsoft.com/ink/2010/main" xmlns:cdr14="http://schemas.microsoft.com/office/drawing/2010/chartDrawing" xmlns:c15="http://schemas.microsoft.com/office/drawing/2012/chart" xmlns:cs="http://schemas.microsoft.com/office/drawing/2012/chartStyle" xmlns:ns38="http://www.w3.org/1998/Math/MathML" xmlns:ns39="http://www.w3.org/2003/InkML" xmlns:a13cmd="http://schemas.microsoft.com/office/drawing/2013/main/command" xmlns:cx="http://schemas.microsoft.com/office/drawing/2014/chartex" xmlns:c16="http://schemas.microsoft.com/office/drawing/2014/chart" xmlns:dgm1611="http://schemas.microsoft.com/office/drawing/2016/11/diagram" xmlns:c173="http://schemas.microsoft.com/office/drawing/2017/03/chart" xmlns:am3d="http://schemas.microsoft.com/office/drawing/2017/model3d" xmlns:an18="http://schemas.microsoft.com/office/drawing/2018/animation" xmlns:anam3d="http://schemas.microsoft.com/office/drawing/2018/animation/model3d" xmlns:iact="http://schemas.microsoft.com/office/powerpoint/2014/inkAction" xmlns:thm15="http://schemas.microsoft.com/office/thememl/2012/main" xmlns:wps="http://schemas.microsoft.com/office/word/2010/wordprocessingShape" xmlns:wpc="http://schemas.microsoft.com/office/word/2010/wordprocessingCanvas" xmlns:wpg="http://schemas.microsoft.com/office/word/2010/wordprocessingGroup" xmlns:w16se="http://schemas.microsoft.com/office/word/2015/wordml/symex" xmlns:w16cid="http://schemas.microsoft.com/office/word/2016/wordml/cid" xmlns:wetp="http://schemas.microsoft.com/office/webextensions/taskpanes/2010/11" xmlns:we="http://schemas.microsoft.com/office/webextensions/webextension/2010/11" xmlns:comp="http://schemas.openxmlformats.org/drawingml/2006/compatibility" xmlns:lc="http://schemas.openxmlformats.org/drawingml/2006/lockedCanvas" xmlns:dgm14="http://schemas.microsoft.com/office/drawing/2010/diagram" xmlns:a15="http://schemas.microsoft.com/office/drawing/2012/main" xmlns:pic14="http://schemas.microsoft.com/office/drawing/2010/picture" xmlns:c16ac="http://schemas.microsoft.com/office/drawing/2014/chart/ac" xmlns:a16="http://schemas.microsoft.com/office/drawing/2014/main" xmlns:a1611="http://schemas.microsoft.com/office/drawing/2016/11/main" xmlns:dgm1612="http://schemas.microsoft.com/office/drawing/2016/12/diagram" xmlns:a16svg="http://schemas.microsoft.com/office/drawing/2016/SVG/main" xmlns:adec="http://schemas.microsoft.com/office/drawing/2017/decorative" xmlns:a18hc="http://schemas.microsoft.com/office/drawing/2018/hyperlinkcolor" xmlns:wp15="http://schemas.microsoft.com/office/word/2012/wordprocessingDrawing">
  <w:docDefaults>
    <w:rPrDefault>
      <w:rPr>
        <w:rFonts w:ascii="Times New Roman" w:hAnsi="Times New Roman" w:eastAsia="Times New Roman" w:cs="Times New Roman" w:asciiTheme="minorHAnsi" w:hAnsiTheme="minorHAnsi" w:eastAsiaTheme="minorHAnsi" w:cstheme="minorBidi"/>
        <w:sz w:val="24"/>
        <w:szCs w:val="22"/>
        <w:lang w:val="pl-PL"/>
      </w:rPr>
    </w:rPrDefault>
    <w:pPrDefault>
      <w:pPr>
        <w:spacing w:after="200" w:line="276" w:lineRule="auto"/>
      </w:pPr>
    </w:pPrDefault>
  </w:docDefaults>
  <w:latentStyles w:defLockedState="false" w:defUIPriority="99" w:defSemiHidden="true" w:defUnhideWhenUsed="true" w:defQFormat="false" w:count="267">
    <w:lsdException w:name="Normal" w:uiPriority="0" w:semiHidden="false" w:unhideWhenUsed="false" w:qFormat="true"/>
    <w:lsdException w:name="heading 1" w:uiPriority="9" w:semiHidden="false" w:unhideWhenUsed="false" w:qFormat="true"/>
    <w:lsdException w:name="heading 2" w:uiPriority="9" w:qFormat="true"/>
    <w:lsdException w:name="heading 3" w:uiPriority="9" w:qFormat="true"/>
    <w:lsdException w:name="heading 4" w:uiPriority="9" w:qFormat="true"/>
    <w:lsdException w:name="Title" w:uiPriority="10" w:semiHidden="false" w:unhideWhenUsed="false" w:qFormat="true"/>
    <w:lsdException w:name="Default Paragraph Font" w:uiPriority="1"/>
    <w:lsdException w:name="Subtitle" w:uiPriority="11" w:semiHidden="false" w:unhideWhenUsed="false" w:qFormat="true"/>
    <w:lsdException w:name="Emphasis" w:uiPriority="20" w:semiHidden="false" w:unhideWhenUsed="false" w:qFormat="true"/>
    <w:lsdException w:name="Table Grid" w:uiPriority="59" w:semiHidden="false" w:unhideWhenUsed="false"/>
  </w:latentStyles>
  <w:style w:type="paragraph" w:styleId="Normal" w:default="true">
    <w:name w:val="Normal"/>
    <w:qFormat/>
    <w:rsid w:val="004A3277"/>
    <w:rPr>
      <w:rFonts w:ascii="Times New Roman" w:hAnsi="Times New Roman" w:eastAsia="Times New Roman" w:cs="Times New Roman"/>
      <w:sz w:val="24"/>
      <w:lang w:val="pl-PL"/>
    </w:rPr>
  </w:style>
  <w:style w:type="paragraph" w:styleId="Heading1">
    <w:name w:val="heading 1"/>
    <w:basedOn w:val="Normal"/>
    <w:next w:val="Normal"/>
    <w:link w:val="Heading1Char"/>
    <w:uiPriority w:val="9"/>
    <w:qFormat/>
    <w:rsid w:val="00841CD9"/>
    <w:pPr>
      <w:keepNext/>
      <w:keepLines/>
      <w:spacing w:before="480"/>
      <w:outlineLvl w:val="0"/>
    </w:pPr>
    <w:rPr>
      <w:rFonts w:asciiTheme="majorHAnsi" w:hAnsiTheme="majorHAnsi" w:eastAsiaTheme="majorEastAsia"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841CD9"/>
    <w:pPr>
      <w:keepNext/>
      <w:keepLines/>
      <w:spacing w:before="200"/>
      <w:outlineLvl w:val="1"/>
    </w:pPr>
    <w:rPr>
      <w:rFonts w:asciiTheme="majorHAnsi" w:hAnsiTheme="majorHAnsi" w:eastAsiaTheme="majorEastAsia" w:cstheme="majorBidi"/>
      <w:b/>
      <w:bCs/>
      <w:color w:val="4F81BD" w:themeColor="accent1"/>
      <w:sz w:val="26"/>
      <w:szCs w:val="26"/>
    </w:rPr>
  </w:style>
  <w:style w:type="paragraph" w:styleId="Heading3">
    <w:name w:val="heading 3"/>
    <w:basedOn w:val="Normal"/>
    <w:next w:val="Normal"/>
    <w:link w:val="Heading3Char"/>
    <w:uiPriority w:val="9"/>
    <w:unhideWhenUsed/>
    <w:qFormat/>
    <w:rsid w:val="00841CD9"/>
    <w:pPr>
      <w:keepNext/>
      <w:keepLines/>
      <w:spacing w:before="200"/>
      <w:outlineLvl w:val="2"/>
    </w:pPr>
    <w:rPr>
      <w:rFonts w:asciiTheme="majorHAnsi" w:hAnsiTheme="majorHAnsi" w:eastAsiaTheme="majorEastAsia" w:cstheme="majorBidi"/>
      <w:b/>
      <w:bCs/>
      <w:color w:val="4F81BD" w:themeColor="accent1"/>
    </w:rPr>
  </w:style>
  <w:style w:type="paragraph" w:styleId="Heading4">
    <w:name w:val="heading 4"/>
    <w:basedOn w:val="Normal"/>
    <w:next w:val="Normal"/>
    <w:link w:val="Heading4Char"/>
    <w:uiPriority w:val="9"/>
    <w:unhideWhenUsed/>
    <w:qFormat/>
    <w:rsid w:val="00841CD9"/>
    <w:pPr>
      <w:keepNext/>
      <w:keepLines/>
      <w:spacing w:before="200"/>
      <w:outlineLvl w:val="3"/>
    </w:pPr>
    <w:rPr>
      <w:rFonts w:asciiTheme="majorHAnsi" w:hAnsiTheme="majorHAnsi" w:eastAsiaTheme="majorEastAsia" w:cstheme="majorBidi"/>
      <w:b/>
      <w:bCs/>
      <w:i/>
      <w:iCs/>
      <w:color w:val="4F81BD" w:themeColor="accent1"/>
    </w:rPr>
  </w:style>
  <w:style w:type="character" w:styleId="DefaultParagraphFont" w:default="true">
    <w:name w:val="Default Paragraph Font"/>
    <w:uiPriority w:val="1"/>
    <w:semiHidden/>
    <w:unhideWhenUsed/>
  </w:style>
  <w:style w:type="paragraph" w:styleId="Header">
    <w:name w:val="header"/>
    <w:basedOn w:val="Normal"/>
    <w:link w:val="HeaderChar"/>
    <w:uiPriority w:val="99"/>
    <w:unhideWhenUsed/>
    <w:rsid w:val="00841CD9"/>
    <w:pPr>
      <w:tabs>
        <w:tab w:val="center" w:pos="4680"/>
        <w:tab w:val="right" w:pos="9360"/>
      </w:tabs>
    </w:pPr>
  </w:style>
  <w:style w:type="character" w:styleId="HeaderChar" w:customStyle="true">
    <w:name w:val="Header Char"/>
    <w:basedOn w:val="DefaultParagraphFont"/>
    <w:link w:val="Header"/>
    <w:uiPriority w:val="99"/>
    <w:rsid w:val="00841CD9"/>
  </w:style>
  <w:style w:type="character" w:styleId="Heading1Char" w:customStyle="true">
    <w:name w:val="Heading 1 Char"/>
    <w:basedOn w:val="DefaultParagraphFont"/>
    <w:link w:val="Heading1"/>
    <w:uiPriority w:val="9"/>
    <w:rsid w:val="00841CD9"/>
    <w:rPr>
      <w:rFonts w:asciiTheme="majorHAnsi" w:hAnsiTheme="majorHAnsi" w:eastAsiaTheme="majorEastAsia" w:cstheme="majorBidi"/>
      <w:b/>
      <w:bCs/>
      <w:color w:val="365F91" w:themeColor="accent1" w:themeShade="BF"/>
      <w:sz w:val="28"/>
      <w:szCs w:val="28"/>
    </w:rPr>
  </w:style>
  <w:style w:type="character" w:styleId="Heading2Char" w:customStyle="true">
    <w:name w:val="Heading 2 Char"/>
    <w:basedOn w:val="DefaultParagraphFont"/>
    <w:link w:val="Heading2"/>
    <w:uiPriority w:val="9"/>
    <w:rsid w:val="00841CD9"/>
    <w:rPr>
      <w:rFonts w:asciiTheme="majorHAnsi" w:hAnsiTheme="majorHAnsi" w:eastAsiaTheme="majorEastAsia" w:cstheme="majorBidi"/>
      <w:b/>
      <w:bCs/>
      <w:color w:val="4F81BD" w:themeColor="accent1"/>
      <w:sz w:val="26"/>
      <w:szCs w:val="26"/>
    </w:rPr>
  </w:style>
  <w:style w:type="character" w:styleId="Heading3Char" w:customStyle="true">
    <w:name w:val="Heading 3 Char"/>
    <w:basedOn w:val="DefaultParagraphFont"/>
    <w:link w:val="Heading3"/>
    <w:uiPriority w:val="9"/>
    <w:rsid w:val="00841CD9"/>
    <w:rPr>
      <w:rFonts w:asciiTheme="majorHAnsi" w:hAnsiTheme="majorHAnsi" w:eastAsiaTheme="majorEastAsia" w:cstheme="majorBidi"/>
      <w:b/>
      <w:bCs/>
      <w:color w:val="4F81BD" w:themeColor="accent1"/>
    </w:rPr>
  </w:style>
  <w:style w:type="character" w:styleId="Heading4Char" w:customStyle="true">
    <w:name w:val="Heading 4 Char"/>
    <w:basedOn w:val="DefaultParagraphFont"/>
    <w:link w:val="Heading4"/>
    <w:uiPriority w:val="9"/>
    <w:rsid w:val="00841CD9"/>
    <w:rPr>
      <w:rFonts w:asciiTheme="majorHAnsi" w:hAnsiTheme="majorHAnsi" w:eastAsiaTheme="majorEastAsia" w:cstheme="majorBidi"/>
      <w:b/>
      <w:bCs/>
      <w:i/>
      <w:iCs/>
      <w:color w:val="4F81BD" w:themeColor="accent1"/>
    </w:rPr>
  </w:style>
  <w:style w:type="paragraph" w:styleId="NormalIndent">
    <w:name w:val="Normal Indent"/>
    <w:basedOn w:val="Normal"/>
    <w:uiPriority w:val="99"/>
    <w:unhideWhenUsed/>
    <w:rsid w:val="00841CD9"/>
    <w:pPr>
      <w:ind w:left="720"/>
    </w:pPr>
  </w:style>
  <w:style w:type="paragraph" w:styleId="Subtitle">
    <w:name w:val="Subtitle"/>
    <w:basedOn w:val="Normal"/>
    <w:next w:val="Normal"/>
    <w:link w:val="SubtitleChar"/>
    <w:uiPriority w:val="11"/>
    <w:qFormat/>
    <w:rsid w:val="00841CD9"/>
    <w:pPr>
      <w:numPr>
        <w:ilvl w:val="1"/>
      </w:numPr>
      <w:ind w:left="86"/>
    </w:pPr>
    <w:rPr>
      <w:rFonts w:asciiTheme="majorHAnsi" w:hAnsiTheme="majorHAnsi" w:eastAsiaTheme="majorEastAsia" w:cstheme="majorBidi"/>
      <w:i/>
      <w:iCs/>
      <w:color w:val="4F81BD" w:themeColor="accent1"/>
      <w:spacing w:val="15"/>
      <w:sz w:val="24"/>
      <w:szCs w:val="24"/>
    </w:rPr>
  </w:style>
  <w:style w:type="character" w:styleId="SubtitleChar" w:customStyle="true">
    <w:name w:val="Subtitle Char"/>
    <w:basedOn w:val="DefaultParagraphFont"/>
    <w:link w:val="Subtitle"/>
    <w:uiPriority w:val="11"/>
    <w:rsid w:val="00841CD9"/>
    <w:rPr>
      <w:rFonts w:asciiTheme="majorHAnsi" w:hAnsiTheme="majorHAnsi" w:eastAsiaTheme="majorEastAsia" w:cstheme="majorBidi"/>
      <w:i/>
      <w:iCs/>
      <w:color w:val="4F81BD" w:themeColor="accent1"/>
      <w:spacing w:val="15"/>
      <w:sz w:val="24"/>
      <w:szCs w:val="24"/>
    </w:rPr>
  </w:style>
  <w:style w:type="paragraph" w:styleId="Title">
    <w:name w:val="Title"/>
    <w:basedOn w:val="Normal"/>
    <w:next w:val="Normal"/>
    <w:link w:val="TitleChar"/>
    <w:uiPriority w:val="10"/>
    <w:qFormat/>
    <w:rsid w:val="00841CD9"/>
    <w:pPr>
      <w:pBdr>
        <w:bottom w:val="single" w:color="4F81BD" w:themeColor="accent1" w:sz="8" w:space="4"/>
      </w:pBdr>
      <w:spacing w:after="300"/>
      <w:contextualSpacing/>
    </w:pPr>
    <w:rPr>
      <w:rFonts w:asciiTheme="majorHAnsi" w:hAnsiTheme="majorHAnsi" w:eastAsiaTheme="majorEastAsia" w:cstheme="majorBidi"/>
      <w:color w:val="17365D" w:themeColor="text2" w:themeShade="BF"/>
      <w:spacing w:val="5"/>
      <w:kern w:val="28"/>
      <w:sz w:val="52"/>
      <w:szCs w:val="52"/>
    </w:rPr>
  </w:style>
  <w:style w:type="character" w:styleId="TitleChar" w:customStyle="true">
    <w:name w:val="Title Char"/>
    <w:basedOn w:val="DefaultParagraphFont"/>
    <w:link w:val="Title"/>
    <w:uiPriority w:val="10"/>
    <w:rsid w:val="00841CD9"/>
    <w:rPr>
      <w:rFonts w:asciiTheme="majorHAnsi" w:hAnsiTheme="majorHAnsi" w:eastAsiaTheme="majorEastAsia" w:cstheme="majorBidi"/>
      <w:color w:val="17365D" w:themeColor="text2" w:themeShade="BF"/>
      <w:spacing w:val="5"/>
      <w:kern w:val="28"/>
      <w:sz w:val="52"/>
      <w:szCs w:val="52"/>
    </w:rPr>
  </w:style>
  <w:style w:type="character" w:styleId="Emphasis">
    <w:name w:val="Emphasis"/>
    <w:basedOn w:val="DefaultParagraphFont"/>
    <w:uiPriority w:val="20"/>
    <w:qFormat/>
    <w:rsid w:val="00D1197D"/>
    <w:rPr>
      <w:i/>
      <w:iCs/>
    </w:rPr>
  </w:style>
  <w:style w:type="character" w:styleId="Hyperlink">
    <w:name w:val="Hyperlink"/>
    <w:basedOn w:val="DefaultParagraphFont"/>
    <w:uiPriority w:val="99"/>
    <w:unhideWhenUsed/>
    <w:rPr>
      <w:color w:val="0000FF" w:themeColor="hyperlink"/>
      <w:u w:val="single"/>
    </w:rPr>
  </w:style>
  <w:style w:type="table" w:styleId="TableGrid">
    <w:name w:val="Table Grid"/>
    <w:basedOn w:val="TableNormal"/>
    <w:uiPriority w:val="59"/>
    <w:pPr>
      <w:spacing w:after="0" w:line="240" w:lineRule="auto"/>
    </w:pPr>
    <w:tblPr>
      <w:tblInd w:w="0"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 w:type="table" w:styleId="TableNormal" w:default="true">
    <w:name w:val="Normal Table"/>
    <w:uiPriority w:val="99"/>
    <w:semiHidden/>
    <w:unhideWhenUsed/>
    <w:qFormat/>
    <w:tblPr>
      <w:tblInd w:w="0" w:type="dxa"/>
      <w:tblCellMar>
        <w:top w:w="0" w:type="dxa"/>
        <w:left w:w="108" w:type="dxa"/>
        <w:bottom w:w="0" w:type="dxa"/>
        <w:right w:w="108" w:type="dxa"/>
      </w:tblCellMar>
    </w:tblPr>
  </w:style>
  <w:style w:type="paragraph" w:styleId="Caption">
    <w:name w:val="caption"/>
    <w:basedOn w:val="Normal"/>
    <w:next w:val="Normal"/>
    <w:uiPriority w:val="35"/>
    <w:semiHidden/>
    <w:unhideWhenUsed/>
    <w:qFormat/>
    <w:rsid w:val="007109C0"/>
    <w:pPr>
      <w:spacing w:line="240" w:lineRule="auto"/>
    </w:pPr>
    <w:rPr>
      <w:b/>
      <w:bCs/>
      <w:color w:val="4F81BD" w:themeColor="accent1"/>
      <w:sz w:val="18"/>
      <w:szCs w:val="18"/>
    </w:rPr>
  </w:style>
  <w:style w:type="paragraph" w:styleId="HeaderStyle">
    <w:name w:val="HeaderStyle"/>
    <w:pPr>
      <w:spacing w:line="240" w:lineRule="auto"/>
      <w:jc w:val="center"/>
    </w:pPr>
    <w:rPr>
      <w:rFonts w:ascii="Times New Roman" w:hAnsi="Times New Roman" w:eastAsia="Times New Roman" w:cs="Times New Roman"/>
      <w:b/>
      <w:color w:val="000000" w:themeColor="text1"/>
      <w:sz w:val="24"/>
    </w:rPr>
  </w:style>
  <w:style w:type="paragraph" w:styleId="TitleStyle">
    <w:name w:val="TitleStyle"/>
    <w:pPr>
      <w:spacing w:line="240" w:lineRule="auto"/>
      <w:jc w:val="left"/>
    </w:pPr>
    <w:rPr>
      <w:rFonts w:ascii="Times New Roman" w:hAnsi="Times New Roman" w:eastAsia="Times New Roman" w:cs="Times New Roman"/>
      <w:b/>
      <w:color w:val="000000" w:themeColor="text1"/>
      <w:sz w:val="24"/>
    </w:rPr>
  </w:style>
  <w:style w:type="paragraph" w:styleId="TitleCenterStyle">
    <w:name w:val="TitleCenterStyle"/>
    <w:pPr>
      <w:spacing w:line="240" w:lineRule="auto"/>
      <w:jc w:val="center"/>
    </w:pPr>
    <w:rPr>
      <w:rFonts w:ascii="Times New Roman" w:hAnsi="Times New Roman" w:eastAsia="Times New Roman" w:cs="Times New Roman"/>
      <w:b/>
      <w:color w:val="000000" w:themeColor="text1"/>
      <w:sz w:val="24"/>
    </w:rPr>
  </w:style>
  <w:style w:type="paragraph" w:styleId="NormalStyle">
    <w:name w:val="NormalStyle"/>
    <w:pPr>
      <w:spacing w:after="0" w:line="240" w:lineRule="auto"/>
      <w:jc w:val="left"/>
    </w:pPr>
    <w:rPr>
      <w:rFonts w:ascii="Times New Roman" w:hAnsi="Times New Roman" w:eastAsia="Times New Roman" w:cs="Times New Roman"/>
      <w:color w:val="000000" w:themeColor="text1"/>
      <w:sz w:val="24"/>
    </w:rPr>
  </w:style>
  <w:style w:type="paragraph" w:styleId="NormalSpacingStyle">
    <w:name w:val="NormalSpacingStyle"/>
    <w:pPr>
      <w:spacing w:line="240" w:lineRule="auto"/>
      <w:jc w:val="left"/>
    </w:pPr>
    <w:rPr>
      <w:rFonts w:ascii="Times New Roman" w:hAnsi="Times New Roman" w:eastAsia="Times New Roman" w:cs="Times New Roman"/>
      <w:color w:val="000000" w:themeColor="text1"/>
      <w:sz w:val="24"/>
    </w:rPr>
  </w:style>
  <w:style w:type="paragraph" w:styleId="BoldStyle">
    <w:name w:val="BoldStyle"/>
    <w:pPr>
      <w:spacing w:after="0" w:line="240" w:lineRule="auto"/>
      <w:jc w:val="left"/>
    </w:pPr>
    <w:rPr>
      <w:rFonts w:ascii="Times New Roman" w:hAnsi="Times New Roman" w:eastAsia="Times New Roman" w:cs="Times New Roman"/>
      <w:b/>
      <w:color w:val="000000" w:themeColor="text1"/>
      <w:sz w:val="24"/>
    </w:rPr>
  </w:style>
</w:styles>
</file>

<file path=word/_rels/document.xml.rels><?xml version="1.0" encoding="UTF-8" standalone="yes"?>
<Relationships xmlns="http://schemas.openxmlformats.org/package/2006/relationships">
    <Relationship Target="styles.xml" Type="http://schemas.openxmlformats.org/officeDocument/2006/relationships/styles" Id="rId1"/>
    <Relationship Target="settings.xml" Type="http://schemas.openxmlformats.org/officeDocument/2006/relationships/settings" Id="rId2"/>
    <Relationship Target="numbering.xml" Type="http://schemas.openxmlformats.org/officeDocument/2006/relationships/numbering" Id="rId3"/>
</Relationships>

</file>

<file path=docProps/app.xml><?xml version="1.0" encoding="utf-8"?>
<properties:Properties xmlns:vt="http://schemas.openxmlformats.org/officeDocument/2006/docPropsVTypes" xmlns:properties="http://schemas.openxmlformats.org/officeDocument/2006/extended-properties"/>
</file>

<file path=docProps/core.xml><?xml version="1.0" encoding="utf-8"?>
<cp:coreProperties xmlns:cp="http://schemas.openxmlformats.org/package/2006/metadata/core-properties" xmlns:dcterms="http://purl.org/dc/terms/" xmlns:dc="http://purl.org/dc/elements/1.1/"/>
</file>