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5.4 (Apache licensed) using REFERENCE JAXB in Eclipse Adoptium Java 21.0.6 on Linux -->
    <w:p>
      <w:pPr>
        <w:pStyle w:val="TitleStyle"/>
      </w:pPr>
      <w:r>
        <w:t>Europejska Karta Samorządu Lokalnego. Strasburg.1985.10.15.</w:t>
      </w:r>
    </w:p>
    <w:p>
      <w:pPr>
        <w:pStyle w:val="NormalStyle"/>
      </w:pPr>
      <w:r>
        <w:t>Dz.U.1994.124.607 z dnia 1994.11.25</w:t>
      </w:r>
    </w:p>
    <w:p>
      <w:pPr>
        <w:pStyle w:val="NormalStyle"/>
      </w:pPr>
      <w:r>
        <w:t xml:space="preserve">Status: Akt obowiązujący </w:t>
      </w:r>
    </w:p>
    <w:p>
      <w:pPr>
        <w:pStyle w:val="NormalStyle"/>
      </w:pPr>
      <w:r>
        <w:t xml:space="preserve">Wersja od: 29 sierpnia 2006r. </w:t>
      </w:r>
    </w:p>
    <w:p>
      <w:pPr>
        <w:spacing w:after="0"/>
        <w:ind w:left="0"/>
        <w:jc w:val="left"/>
        <w:textAlignment w:val="auto"/>
      </w:pPr>
      <w:r>
        <w:br/>
      </w: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1 marca 1994 r.</w:t>
      </w:r>
    </w:p>
    <w:p>
      <w:pPr>
        <w:spacing w:after="0"/>
        <w:ind w:left="0"/>
        <w:jc w:val="left"/>
        <w:textAlignment w:val="auto"/>
      </w:pP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 xml:space="preserve">EUROPEJSKA KARTA SAMORZĄDU LOKALNEGO, </w:t>
      </w:r>
      <w:r>
        <w:rPr>
          <w:rFonts w:ascii="Times New Roman"/>
          <w:b/>
          <w:i w:val="false"/>
          <w:color w:val="000000"/>
          <w:sz w:val="24"/>
          <w:vertAlign w:val="superscript"/>
          <w:lang w:val="pl-PL"/>
        </w:rPr>
        <w:t>1</w:t>
      </w:r>
      <w:r>
        <w:rPr>
          <w:rFonts w:ascii="Times New Roman"/>
          <w:b/>
          <w:i w:val="false"/>
          <w:color w:val="000000"/>
          <w:sz w:val="24"/>
          <w:lang w:val="pl-PL"/>
        </w:rPr>
        <w:t xml:space="preserve"> </w:t>
      </w:r>
    </w:p>
    <w:p>
      <w:pPr>
        <w:spacing w:before="80" w:after="0"/>
        <w:ind w:left="0"/>
        <w:jc w:val="center"/>
        <w:textAlignment w:val="auto"/>
      </w:pPr>
      <w:r>
        <w:rPr>
          <w:rFonts w:ascii="Times New Roman"/>
          <w:b/>
          <w:i w:val="false"/>
          <w:color w:val="000000"/>
          <w:sz w:val="24"/>
          <w:lang w:val="pl-PL"/>
        </w:rPr>
        <w:t>sporządzona w Strasburgu dnia 15 października 1985 r.</w:t>
      </w:r>
    </w:p>
    <w:p>
      <w:pPr>
        <w:spacing w:before="80" w:after="0"/>
        <w:ind w:left="0"/>
        <w:jc w:val="center"/>
        <w:textAlignment w:val="auto"/>
      </w:pPr>
      <w:r>
        <w:rPr>
          <w:rFonts w:ascii="Times New Roman"/>
          <w:b w:val="false"/>
          <w:i w:val="false"/>
          <w:color w:val="000000"/>
          <w:sz w:val="24"/>
          <w:lang w:val="pl-PL"/>
        </w:rPr>
        <w:t>W imieniu Rzeczypospolitej Polskiej</w:t>
      </w:r>
    </w:p>
    <w:p>
      <w:pPr>
        <w:spacing w:before="25" w:after="0"/>
        <w:ind w:left="0"/>
        <w:jc w:val="center"/>
        <w:textAlignment w:val="auto"/>
      </w:pPr>
      <w:r>
        <w:rPr>
          <w:rFonts w:ascii="Times New Roman"/>
          <w:b w:val="false"/>
          <w:i w:val="false"/>
          <w:color w:val="000000"/>
          <w:sz w:val="24"/>
          <w:lang w:val="pl-PL"/>
        </w:rPr>
        <w:t>PREZYDENT RZECZYPOSPOLITEJ POLSKIEJ</w:t>
      </w:r>
    </w:p>
    <w:p>
      <w:pPr>
        <w:spacing w:before="25" w:after="0"/>
        <w:ind w:left="0"/>
        <w:jc w:val="center"/>
        <w:textAlignment w:val="auto"/>
      </w:pPr>
      <w:r>
        <w:rPr>
          <w:rFonts w:ascii="Times New Roman"/>
          <w:b w:val="false"/>
          <w:i w:val="false"/>
          <w:color w:val="000000"/>
          <w:sz w:val="24"/>
          <w:lang w:val="pl-PL"/>
        </w:rPr>
        <w:t>podaje do powszechnej wiadomości:</w:t>
      </w:r>
    </w:p>
    <w:p>
      <w:pPr>
        <w:spacing w:before="25" w:after="0"/>
        <w:ind w:left="0"/>
        <w:jc w:val="center"/>
        <w:textAlignment w:val="auto"/>
      </w:pPr>
      <w:r>
        <w:rPr>
          <w:rFonts w:ascii="Times New Roman"/>
          <w:b w:val="false"/>
          <w:i w:val="false"/>
          <w:color w:val="000000"/>
          <w:sz w:val="24"/>
          <w:lang w:val="pl-PL"/>
        </w:rPr>
        <w:t>W dniu 15 października 1985 r. została sporządzona w Strasburgu Europejska Karta Samorządu Lokalnego w następującym brzmieniu:</w:t>
      </w:r>
    </w:p>
    <w:p>
      <w:pPr>
        <w:spacing w:before="25" w:after="0"/>
        <w:ind w:left="0"/>
        <w:jc w:val="center"/>
        <w:textAlignment w:val="auto"/>
      </w:pPr>
      <w:r>
        <w:rPr>
          <w:rFonts w:ascii="Times New Roman"/>
          <w:b/>
          <w:i w:val="false"/>
          <w:color w:val="000000"/>
          <w:sz w:val="24"/>
          <w:lang w:val="pl-PL"/>
        </w:rPr>
        <w:t>EUROPEJSKA KARTA</w:t>
      </w:r>
    </w:p>
    <w:p>
      <w:pPr>
        <w:spacing w:before="25" w:after="0"/>
        <w:ind w:left="0"/>
        <w:jc w:val="center"/>
        <w:textAlignment w:val="auto"/>
      </w:pPr>
      <w:r>
        <w:rPr>
          <w:rFonts w:ascii="Times New Roman"/>
          <w:b/>
          <w:i w:val="false"/>
          <w:color w:val="000000"/>
          <w:sz w:val="24"/>
          <w:lang w:val="pl-PL"/>
        </w:rPr>
        <w:t xml:space="preserve">SAMORZĄDU LOKALNEGO </w:t>
      </w:r>
      <w:r>
        <w:rPr>
          <w:rFonts w:ascii="Times New Roman"/>
          <w:b/>
          <w:i w:val="false"/>
          <w:color w:val="000000"/>
          <w:sz w:val="24"/>
          <w:vertAlign w:val="superscript"/>
          <w:lang w:val="pl-PL"/>
        </w:rPr>
        <w:t>2</w:t>
      </w:r>
      <w:r>
        <w:rPr>
          <w:rFonts w:ascii="Times New Roman"/>
          <w:b/>
          <w:i w:val="false"/>
          <w:color w:val="000000"/>
          <w:sz w:val="24"/>
          <w:lang w:val="pl-PL"/>
        </w:rPr>
        <w:t xml:space="preserve"> </w:t>
      </w:r>
    </w:p>
    <w:p>
      <w:pPr>
        <w:spacing w:before="25" w:after="0"/>
        <w:ind w:left="0"/>
        <w:jc w:val="center"/>
        <w:textAlignment w:val="auto"/>
      </w:pPr>
      <w:r>
        <w:rPr>
          <w:rFonts w:ascii="Times New Roman"/>
          <w:b w:val="false"/>
          <w:i w:val="false"/>
          <w:color w:val="000000"/>
          <w:sz w:val="24"/>
          <w:lang w:val="pl-PL"/>
        </w:rPr>
        <w:t>PREAMBUŁA</w:t>
      </w:r>
    </w:p>
    <w:p>
      <w:pPr>
        <w:spacing w:before="25" w:after="0"/>
        <w:ind w:left="0"/>
        <w:jc w:val="center"/>
        <w:textAlignment w:val="auto"/>
      </w:pPr>
      <w:r>
        <w:rPr>
          <w:rFonts w:ascii="Times New Roman"/>
          <w:b w:val="false"/>
          <w:i w:val="false"/>
          <w:color w:val="000000"/>
          <w:sz w:val="24"/>
          <w:lang w:val="pl-PL"/>
        </w:rPr>
        <w:t>Państwa członkowskie Rady Europy, sygnatariusze niniejszej Karty,</w:t>
      </w:r>
    </w:p>
    <w:p>
      <w:pPr>
        <w:spacing w:before="25" w:after="0"/>
        <w:ind w:left="0"/>
        <w:jc w:val="center"/>
        <w:textAlignment w:val="auto"/>
      </w:pPr>
      <w:r>
        <w:rPr>
          <w:rFonts w:ascii="Times New Roman"/>
          <w:b w:val="false"/>
          <w:i w:val="false"/>
          <w:color w:val="000000"/>
          <w:sz w:val="24"/>
          <w:lang w:val="pl-PL"/>
        </w:rPr>
        <w:t>zważywszy, iż celem Rady Europy jest zacieśnienie więzi pomiędzy państwami członkowskimi w celu ochrony i urzeczywistnienia idei oraz zasad, które stanowią ich wspólny dorobek;</w:t>
      </w:r>
    </w:p>
    <w:p>
      <w:pPr>
        <w:spacing w:before="25" w:after="0"/>
        <w:ind w:left="0"/>
        <w:jc w:val="center"/>
        <w:textAlignment w:val="auto"/>
      </w:pPr>
      <w:r>
        <w:rPr>
          <w:rFonts w:ascii="Times New Roman"/>
          <w:b w:val="false"/>
          <w:i w:val="false"/>
          <w:color w:val="000000"/>
          <w:sz w:val="24"/>
          <w:lang w:val="pl-PL"/>
        </w:rPr>
        <w:t>zważywszy, że jednym ze środków służących do realizacji tego celu jest zawieranie umów w dziedzinie administracji;</w:t>
      </w:r>
    </w:p>
    <w:p>
      <w:pPr>
        <w:spacing w:before="25" w:after="0"/>
        <w:ind w:left="0"/>
        <w:jc w:val="center"/>
        <w:textAlignment w:val="auto"/>
      </w:pPr>
      <w:r>
        <w:rPr>
          <w:rFonts w:ascii="Times New Roman"/>
          <w:b w:val="false"/>
          <w:i w:val="false"/>
          <w:color w:val="000000"/>
          <w:sz w:val="24"/>
          <w:lang w:val="pl-PL"/>
        </w:rPr>
        <w:t>zważywszy, że społeczności lokalne stanowią jedną z zasadniczych podstaw ustroju demokratycznego;</w:t>
      </w:r>
    </w:p>
    <w:p>
      <w:pPr>
        <w:spacing w:before="25" w:after="0"/>
        <w:ind w:left="0"/>
        <w:jc w:val="center"/>
        <w:textAlignment w:val="auto"/>
      </w:pPr>
      <w:r>
        <w:rPr>
          <w:rFonts w:ascii="Times New Roman"/>
          <w:b w:val="false"/>
          <w:i w:val="false"/>
          <w:color w:val="000000"/>
          <w:sz w:val="24"/>
          <w:lang w:val="pl-PL"/>
        </w:rPr>
        <w:t>zważywszy, że prawo obywateli do uczestnictwa w kierowaniu sprawami publicznymi jest jedną z demokratycznych zasad, wspólnych dla wszystkich państw członkowskich Rady Europy;</w:t>
      </w:r>
    </w:p>
    <w:p>
      <w:pPr>
        <w:spacing w:before="25" w:after="0"/>
        <w:ind w:left="0"/>
        <w:jc w:val="center"/>
        <w:textAlignment w:val="auto"/>
      </w:pPr>
      <w:r>
        <w:rPr>
          <w:rFonts w:ascii="Times New Roman"/>
          <w:b w:val="false"/>
          <w:i w:val="false"/>
          <w:color w:val="000000"/>
          <w:sz w:val="24"/>
          <w:lang w:val="pl-PL"/>
        </w:rPr>
        <w:t>przekonane, że to właśnie na szczeblu lokalnym prawo to może być realizowane w sposób najbardziej bezpośredni;</w:t>
      </w:r>
    </w:p>
    <w:p>
      <w:pPr>
        <w:spacing w:before="25" w:after="0"/>
        <w:ind w:left="0"/>
        <w:jc w:val="center"/>
        <w:textAlignment w:val="auto"/>
      </w:pPr>
      <w:r>
        <w:rPr>
          <w:rFonts w:ascii="Times New Roman"/>
          <w:b w:val="false"/>
          <w:i w:val="false"/>
          <w:color w:val="000000"/>
          <w:sz w:val="24"/>
          <w:lang w:val="pl-PL"/>
        </w:rPr>
        <w:t>przekonane, że istnienie społeczności lokalnych wyposażonych w rzeczywiste uprawnienia stwarza warunki dla zarządzania skutecznego i pozostającego zarazem w bezpośredniej bliskości obywatela;</w:t>
      </w:r>
    </w:p>
    <w:p>
      <w:pPr>
        <w:spacing w:before="25" w:after="0"/>
        <w:ind w:left="0"/>
        <w:jc w:val="center"/>
        <w:textAlignment w:val="auto"/>
      </w:pPr>
      <w:r>
        <w:rPr>
          <w:rFonts w:ascii="Times New Roman"/>
          <w:b w:val="false"/>
          <w:i w:val="false"/>
          <w:color w:val="000000"/>
          <w:sz w:val="24"/>
          <w:lang w:val="pl-PL"/>
        </w:rPr>
        <w:t>świadome faktu, że ochrona i ugruntowanie samorządu terytorialnego w poszczególnych krajach Europy przyczyniają się w poważnym stopniu do budowy Europy w oparciu o zasady demokracji i decentralizacji władzy;</w:t>
      </w:r>
    </w:p>
    <w:p>
      <w:pPr>
        <w:spacing w:before="25" w:after="0"/>
        <w:ind w:left="0"/>
        <w:jc w:val="center"/>
        <w:textAlignment w:val="auto"/>
      </w:pPr>
      <w:r>
        <w:rPr>
          <w:rFonts w:ascii="Times New Roman"/>
          <w:b w:val="false"/>
          <w:i w:val="false"/>
          <w:color w:val="000000"/>
          <w:sz w:val="24"/>
          <w:lang w:val="pl-PL"/>
        </w:rPr>
        <w:t>przyznając, że jest to możliwe przy założeniu, że społeczności lokalne wyposażone są w organy decyzyjne ukonstytuowane w sposób demokratyczny i korzystają z szerokiej autonomii odnośnie do kompetencji, sposobów ich wykonywania oraz środków niezbędnych do realizacji ich zadań,</w:t>
      </w:r>
    </w:p>
    <w:p>
      <w:pPr>
        <w:spacing w:before="25" w:after="0"/>
        <w:ind w:left="0"/>
        <w:jc w:val="center"/>
        <w:textAlignment w:val="auto"/>
      </w:pPr>
      <w:r>
        <w:rPr>
          <w:rFonts w:ascii="Times New Roman"/>
          <w:b w:val="false"/>
          <w:i w:val="false"/>
          <w:color w:val="000000"/>
          <w:sz w:val="24"/>
          <w:lang w:val="pl-PL"/>
        </w:rPr>
        <w:t>uzgodniły, co następuje: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w:t>
      </w:r>
    </w:p>
    <w:p>
      <w:pPr>
        <w:spacing w:after="0"/>
        <w:ind w:left="0"/>
        <w:jc w:val="left"/>
        <w:textAlignment w:val="auto"/>
      </w:pPr>
      <w:r>
        <w:rPr>
          <w:rFonts w:ascii="Times New Roman"/>
          <w:b w:val="false"/>
          <w:i w:val="false"/>
          <w:color w:val="000000"/>
          <w:sz w:val="24"/>
          <w:lang w:val="pl-PL"/>
        </w:rPr>
        <w:t>Strony zobowiązują się do uznania poniższych artykułów za wiążące w sposób i w zakresie przewidzianym w artykule 12 niniejszej Karty.</w:t>
      </w:r>
    </w:p>
    <w:p>
      <w:pPr>
        <w:spacing w:after="0"/>
        <w:ind w:left="0"/>
        <w:jc w:val="left"/>
        <w:textAlignment w:val="auto"/>
      </w:pPr>
    </w:p>
    <w:p>
      <w:pPr>
        <w:spacing w:before="236" w:after="0"/>
        <w:ind w:left="0"/>
        <w:jc w:val="center"/>
        <w:textAlignment w:val="auto"/>
      </w:pPr>
      <w:r>
        <w:rPr>
          <w:rFonts w:ascii="Times New Roman"/>
          <w:b/>
          <w:i w:val="false"/>
          <w:color w:val="000000"/>
          <w:sz w:val="24"/>
          <w:lang w:val="pl-PL"/>
        </w:rPr>
        <w:t>CZĘŚĆ  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Artykuł  2 </w:t>
      </w:r>
      <w:r>
        <w:rPr>
          <w:rFonts w:ascii="Times New Roman"/>
          <w:b/>
          <w:i w:val="false"/>
          <w:color w:val="000000"/>
          <w:sz w:val="24"/>
          <w:vertAlign w:val="superscript"/>
          <w:lang w:val="pl-PL"/>
        </w:rPr>
        <w:t>3</w:t>
      </w:r>
      <w:r>
        <w:rPr>
          <w:rFonts w:ascii="Times New Roman"/>
          <w:b/>
          <w:i w:val="false"/>
          <w:color w:val="000000"/>
          <w:sz w:val="24"/>
          <w:lang w:val="pl-PL"/>
        </w:rPr>
        <w:t xml:space="preserve"> </w:t>
      </w:r>
    </w:p>
    <w:p>
      <w:pPr>
        <w:spacing w:after="0"/>
        <w:ind w:left="0"/>
        <w:jc w:val="left"/>
        <w:textAlignment w:val="auto"/>
      </w:pPr>
      <w:r>
        <w:rPr>
          <w:rFonts w:ascii="Times New Roman"/>
          <w:b/>
          <w:i w:val="false"/>
          <w:color w:val="000000"/>
          <w:sz w:val="24"/>
          <w:lang w:val="pl-PL"/>
        </w:rPr>
        <w:t>Podstawa konstytucyjna i prawna samorządu lokalnego</w:t>
      </w:r>
    </w:p>
    <w:p>
      <w:pPr>
        <w:spacing w:before="25" w:after="0"/>
        <w:ind w:left="0"/>
        <w:jc w:val="both"/>
        <w:textAlignment w:val="auto"/>
      </w:pPr>
      <w:r>
        <w:rPr>
          <w:rFonts w:ascii="Times New Roman"/>
          <w:b w:val="false"/>
          <w:i w:val="false"/>
          <w:color w:val="000000"/>
          <w:sz w:val="24"/>
          <w:lang w:val="pl-PL"/>
        </w:rPr>
        <w:t>Zasada samorządności lokalnej musi być uznana w prawie wewnętrznym oraz, w miarę możliwości, w Konstytucji.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Artykuł  3 </w:t>
      </w:r>
      <w:r>
        <w:rPr>
          <w:rFonts w:ascii="Times New Roman"/>
          <w:b/>
          <w:i w:val="false"/>
          <w:color w:val="000000"/>
          <w:sz w:val="24"/>
          <w:vertAlign w:val="superscript"/>
          <w:lang w:val="pl-PL"/>
        </w:rPr>
        <w:t>4</w:t>
      </w:r>
      <w:r>
        <w:rPr>
          <w:rFonts w:ascii="Times New Roman"/>
          <w:b/>
          <w:i w:val="false"/>
          <w:color w:val="000000"/>
          <w:sz w:val="24"/>
          <w:lang w:val="pl-PL"/>
        </w:rPr>
        <w:t xml:space="preserve"> </w:t>
      </w:r>
    </w:p>
    <w:p>
      <w:pPr>
        <w:spacing w:after="0"/>
        <w:ind w:left="0"/>
        <w:jc w:val="left"/>
        <w:textAlignment w:val="auto"/>
      </w:pPr>
      <w:r>
        <w:rPr>
          <w:rFonts w:ascii="Times New Roman"/>
          <w:b/>
          <w:i w:val="false"/>
          <w:color w:val="000000"/>
          <w:sz w:val="24"/>
          <w:lang w:val="pl-PL"/>
        </w:rPr>
        <w:t>Koncepcja samorządu lokalnego</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Samorząd lokalny oznacza prawo i zdolność społeczności lokalnych, w granicach określonych prawem, do kierowania i zarządzania zasadniczą częścią spraw publicznych na ich własną odpowiedzialność i w interesie ich mieszkańców.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Prawo to jest realizowane przez rady lub zgromadzenia, w których skład wchodzą członkowie wybierani w wyborach wolnych, tajnych, równych, bezpośrednich i powszechnych i które mogą dysponować organami wykonawczymi im podlegającymi. Przepis ten nie wyklucza możliwości odwołania się do zgromadzeń obywateli, referendum lub każdej innej formy bezpośredniego uczestnictwa obywateli, jeśli ustawa dopuszcza takie rozwiązanie.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Artykuł  4 </w:t>
      </w:r>
      <w:r>
        <w:rPr>
          <w:rFonts w:ascii="Times New Roman"/>
          <w:b/>
          <w:i w:val="false"/>
          <w:color w:val="000000"/>
          <w:sz w:val="24"/>
          <w:vertAlign w:val="superscript"/>
          <w:lang w:val="pl-PL"/>
        </w:rPr>
        <w:t>5</w:t>
      </w:r>
      <w:r>
        <w:rPr>
          <w:rFonts w:ascii="Times New Roman"/>
          <w:b/>
          <w:i w:val="false"/>
          <w:color w:val="000000"/>
          <w:sz w:val="24"/>
          <w:lang w:val="pl-PL"/>
        </w:rPr>
        <w:t xml:space="preserve"> </w:t>
      </w:r>
    </w:p>
    <w:p>
      <w:pPr>
        <w:spacing w:after="0"/>
        <w:ind w:left="0"/>
        <w:jc w:val="left"/>
        <w:textAlignment w:val="auto"/>
      </w:pPr>
      <w:r>
        <w:rPr>
          <w:rFonts w:ascii="Times New Roman"/>
          <w:b/>
          <w:i w:val="false"/>
          <w:color w:val="000000"/>
          <w:sz w:val="24"/>
          <w:lang w:val="pl-PL"/>
        </w:rPr>
        <w:t>Zakres działania samorządu lokalnego</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Podstawowe kompetencje społeczności lokalnych są określone w Konstytucji lub w ustawie. To postanowienie nie wyklucza jednakże możliwości przyznania społecznościom lokalnym uprawnień niezbędnych do realizacji specyficznych zadań, zgodnie z prawem.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Społeczności lokalne mają - w zakresie określonym prawem - pełną swobodę działania w każdej sprawie, która nie jest wyłączona z ich kompetencji lub nie wchodzi w zakres kompetencji innych organów władzy.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Generalnie odpowiedzialność za sprawy publiczne powinny ponosić przede wszystkim te organy władzy, które znajdują się najbliżej obywateli. Powierzając te funkcje innemu organowi władzy, należy uwzględnić zakres i charakter zadania oraz wymogi efektywności i gospodarności.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Kompetencje przyznane społecznościom lokalnym powinny być w zasadzie całkowite i wyłączne i mogą zostać zakwestionowane lub ograniczone przez inny organ władzy, centralny lub regionalny, jedynie w zakresie przewidzianym prawem.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W przypadku delegowania kompetencji społecznościom lokalnym przez organy władzy centralnej lub regionalnej, powinny one, w miarę możliwości, mieć pełną swobodę dostosowania sposobu wykonywania tych kompetencji do warunków miejscowych.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Społeczności lokalne powinny być konsultowane o tyle, o ile jest to możliwe, we właściwym czasie i w odpowiednim trybie, w trakcie opracowywania planów oraz podejmowania decyzji we wszystkich sprawach bezpośrednio ich dotyczących.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5</w:t>
      </w:r>
    </w:p>
    <w:p>
      <w:pPr>
        <w:spacing w:after="0"/>
        <w:ind w:left="0"/>
        <w:jc w:val="left"/>
        <w:textAlignment w:val="auto"/>
      </w:pPr>
      <w:r>
        <w:rPr>
          <w:rFonts w:ascii="Times New Roman"/>
          <w:b/>
          <w:i w:val="false"/>
          <w:color w:val="000000"/>
          <w:sz w:val="24"/>
          <w:lang w:val="pl-PL"/>
        </w:rPr>
        <w:t>Ochrona granic społeczności lokalnych</w:t>
      </w:r>
    </w:p>
    <w:p>
      <w:pPr>
        <w:spacing w:before="25" w:after="0"/>
        <w:ind w:left="0"/>
        <w:jc w:val="both"/>
        <w:textAlignment w:val="auto"/>
      </w:pPr>
      <w:r>
        <w:rPr>
          <w:rFonts w:ascii="Times New Roman"/>
          <w:b w:val="false"/>
          <w:i w:val="false"/>
          <w:color w:val="000000"/>
          <w:sz w:val="24"/>
          <w:lang w:val="pl-PL"/>
        </w:rPr>
        <w:t>Każda zmiana granic społeczności lokalnej wymaga uprzedniego przeprowadzenia konsultacji z zainteresowaną społecznością, możliwie w drodze referendum, jeśli ustawa na to zezwala.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6</w:t>
      </w:r>
    </w:p>
    <w:p>
      <w:pPr>
        <w:spacing w:after="0"/>
        <w:ind w:left="0"/>
        <w:jc w:val="left"/>
        <w:textAlignment w:val="auto"/>
      </w:pPr>
      <w:r>
        <w:rPr>
          <w:rFonts w:ascii="Times New Roman"/>
          <w:b/>
          <w:i w:val="false"/>
          <w:color w:val="000000"/>
          <w:sz w:val="24"/>
          <w:lang w:val="pl-PL"/>
        </w:rPr>
        <w:t>Dostosowanie struktur i środków administracyjnych do zadań społeczności lokalnych</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Jeśli bardziej ogólne postanowienia ustawy nie stanowią inaczej, społeczności lokalne powinny móc samodzielnie ustalać swą wewnętrzną strukturę administracyjną, tworząc jednostki dostosowane do specyficznych potrzeb i umożliwiające skuteczne zarządzanie.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Status pracowników samorządowych powinien umożliwiać zatrudnianie pracowników wysoko wykwalifikowanych, w oparciu o kryterium umiejętności i kompetencji; w tym celu należy przewidzieć odpowiednie zasady szkolenia, wynagradzania oraz możliwości awansu zawodowego.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7</w:t>
      </w:r>
    </w:p>
    <w:p>
      <w:pPr>
        <w:spacing w:after="0"/>
        <w:ind w:left="0"/>
        <w:jc w:val="left"/>
        <w:textAlignment w:val="auto"/>
      </w:pPr>
      <w:r>
        <w:rPr>
          <w:rFonts w:ascii="Times New Roman"/>
          <w:b/>
          <w:i w:val="false"/>
          <w:color w:val="000000"/>
          <w:sz w:val="24"/>
          <w:lang w:val="pl-PL"/>
        </w:rPr>
        <w:t>Warunki wykonywania uprawnień na szczeblu lokalnym</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Status przedstawicieli wybieranych do władz lokalnych powinien zapewniać swobodne wykonywanie ich mandatu.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Status ten powinien zapewnić wyrównanie finansowe odpowiednio do kosztów poniesionych w związku z wykonywaniem mandatu oraz, w razie potrzeby, wyrównanie finansowe za utracone zyski lub też wynagrodzenie za wykonaną pracę, jak również odpowiednie ubezpieczenie społeczne.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Funkcje lub działania nie dające się pogodzić z mandatem przedstawiciela wybranego do władz lokalnych mogą być określone jedynie przez ustawę lub wynikać z podstawowych zasad prawnych.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8</w:t>
      </w:r>
    </w:p>
    <w:p>
      <w:pPr>
        <w:spacing w:after="0"/>
        <w:ind w:left="0"/>
        <w:jc w:val="left"/>
        <w:textAlignment w:val="auto"/>
      </w:pPr>
      <w:r>
        <w:rPr>
          <w:rFonts w:ascii="Times New Roman"/>
          <w:b/>
          <w:i w:val="false"/>
          <w:color w:val="000000"/>
          <w:sz w:val="24"/>
          <w:lang w:val="pl-PL"/>
        </w:rPr>
        <w:t>Kontrola administracyjna działalności społeczności lokalnych</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Wszelka kontrola administracyjna społeczności lokalnych może być dokonywana wyłącznie w sposób oraz w przypadkach przewidzianych w Konstytucji lub w ustawie.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Wszelka kontrola administracyjna działalności społeczności lokalnych powinna w zasadzie mieć na celu jedynie zapewnienie przestrzegania prawa i zasad konstytucyjnych. Kontrola administracyjna może jednakże obejmować kontrolę celowości realizowaną przez organ wyższego szczebla w odniesieniu do zadań, których wykonanie zostało społecznościom lokalnym delegowane.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Kontrola administracyjna społeczności lokalnych powinna być sprawowana z zachowaniem proporcji między zakresem interwencji ze strony organu kontroli a znaczeniem interesów, które ma on chronić.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9</w:t>
      </w:r>
    </w:p>
    <w:p>
      <w:pPr>
        <w:spacing w:after="0"/>
        <w:ind w:left="0"/>
        <w:jc w:val="left"/>
        <w:textAlignment w:val="auto"/>
      </w:pPr>
      <w:r>
        <w:rPr>
          <w:rFonts w:ascii="Times New Roman"/>
          <w:b/>
          <w:i w:val="false"/>
          <w:color w:val="000000"/>
          <w:sz w:val="24"/>
          <w:lang w:val="pl-PL"/>
        </w:rPr>
        <w:t>Zasady finansowe społeczności lokalnych</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Społeczności lokalne mają prawo, w ramach narodowej polityki gospodarczej, do posiadania własnych wystarczających zasobów finansowych, którymi mogą swobodnie dysponować w ramach wykonywania swych uprawnień.</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Wysokość zasobów finansowych społeczności lokalnych powinna być dostosowana do zakresu uprawnień przyznanych im przez Konstytucję lub przez prawo.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Przynajmniej część zasobów finansowych społeczności lokalnych powinna pochodzić z opłat i podatków lokalnych, których wysokość społeczności te mają prawo ustalać, w zakresie określonym ustawą.</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Systemy finansowe, na jakich opierają się zasoby pozostające do dyspozycji społeczności lokalnych, powinny być wystarczająco zróżnicowane i elastyczne, aby mogły w miarę możliwości odpowiadać rzeczywistym zmianom zachodzącym w poziomie kosztów związanych z wykonywaniem uprawnień.</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Ochrona społeczności lokalnych, finansowo słabszych, wymaga zastosowania procedur wyrównawczych lub działań równoważących, mających na celu korygowanie skutków nierównego podziału potencjalnych źródeł dochodów, a także wydatków, jakie te społeczności ponoszą. Procedury lub działania tego typu nie powinny ograniczać swobody podejmowania decyzji przez społeczności lokalne w zakresie ich uprawnień własnych.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Społeczności lokalne powinny być konsultowane, w odpowiednim trybie, co do form przyznania im zasobów pochodzących z redystrybucji dochodów.</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O ile jest to możliwe, subwencje przyznane społecznościom lokalnym nie powinny być przeznaczane na finansowanie specyficznych projektów. Przyznanie subwencji nie może zagrażać podstawowej wolności społeczności lokalnej do swobodnego prowadzenia własnej polityki w zakresie przyznanych jej uprawnień.</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Dla potrzeb finansowania nakładów inwestycyjnych społeczności lokalne powinny mieć dostęp do krajowego rynku kapitałowego, w granicach określonych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10</w:t>
      </w:r>
    </w:p>
    <w:p>
      <w:pPr>
        <w:spacing w:after="0"/>
        <w:ind w:left="0"/>
        <w:jc w:val="left"/>
        <w:textAlignment w:val="auto"/>
      </w:pPr>
      <w:r>
        <w:rPr>
          <w:rFonts w:ascii="Times New Roman"/>
          <w:b/>
          <w:i w:val="false"/>
          <w:color w:val="000000"/>
          <w:sz w:val="24"/>
          <w:lang w:val="pl-PL"/>
        </w:rPr>
        <w:t>Prawo społeczności lokalnych do zrzeszania się</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Wykonując swoje uprawnienia, społeczności lokalne mają prawo współpracować z innymi społecznościami lokalnymi oraz zrzeszać się z nimi - w granicach określonych prawem - w celu realizacji zadań, które stanowią przedmiot ich wspólnego zainteresowania.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Prawo społeczności lokalnych do przystąpienia do stowarzyszenia w celu ochrony i rozwijania wspólnych interesów oraz prawo do przystąpienia do międzynarodowego stowarzyszenia społeczności lokalnych będzie uznane w każdym państwie.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Społeczności lokalne mogą współpracować ze społecznościami innych państw na warunkach przewidzianych prawem.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Artykuł  11 </w:t>
      </w:r>
      <w:r>
        <w:rPr>
          <w:rFonts w:ascii="Times New Roman"/>
          <w:b/>
          <w:i w:val="false"/>
          <w:color w:val="000000"/>
          <w:sz w:val="24"/>
          <w:vertAlign w:val="superscript"/>
          <w:lang w:val="pl-PL"/>
        </w:rPr>
        <w:t>6</w:t>
      </w:r>
      <w:r>
        <w:rPr>
          <w:rFonts w:ascii="Times New Roman"/>
          <w:b/>
          <w:i w:val="false"/>
          <w:color w:val="000000"/>
          <w:sz w:val="24"/>
          <w:lang w:val="pl-PL"/>
        </w:rPr>
        <w:t xml:space="preserve"> </w:t>
      </w:r>
    </w:p>
    <w:p>
      <w:pPr>
        <w:spacing w:after="0"/>
        <w:ind w:left="0"/>
        <w:jc w:val="left"/>
        <w:textAlignment w:val="auto"/>
      </w:pPr>
      <w:r>
        <w:rPr>
          <w:rFonts w:ascii="Times New Roman"/>
          <w:b/>
          <w:i w:val="false"/>
          <w:color w:val="000000"/>
          <w:sz w:val="24"/>
          <w:lang w:val="pl-PL"/>
        </w:rPr>
        <w:t>Prawna ochrona samorządu lokalnego</w:t>
      </w:r>
    </w:p>
    <w:p>
      <w:pPr>
        <w:spacing w:before="25" w:after="0"/>
        <w:ind w:left="0"/>
        <w:jc w:val="both"/>
        <w:textAlignment w:val="auto"/>
      </w:pPr>
      <w:r>
        <w:rPr>
          <w:rFonts w:ascii="Times New Roman"/>
          <w:b w:val="false"/>
          <w:i w:val="false"/>
          <w:color w:val="000000"/>
          <w:sz w:val="24"/>
          <w:lang w:val="pl-PL"/>
        </w:rPr>
        <w:t>Społeczności lokalne mają prawo do odwołania na drodze sądowej w celu zapewnienia swobodnego wykonywania uprawnień oraz poszanowania zasad samorządności lokalnej, przewidzianych w Konstytucji lub w prawie wewnętrznym.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CZĘŚĆ  II</w:t>
      </w:r>
    </w:p>
    <w:p>
      <w:pPr>
        <w:spacing w:before="25" w:after="0"/>
        <w:ind w:left="0"/>
        <w:jc w:val="center"/>
        <w:textAlignment w:val="auto"/>
      </w:pPr>
      <w:r>
        <w:rPr>
          <w:rFonts w:ascii="Times New Roman"/>
          <w:b/>
          <w:i w:val="false"/>
          <w:color w:val="000000"/>
          <w:sz w:val="24"/>
          <w:lang w:val="pl-PL"/>
        </w:rPr>
        <w:t>PRZEPISY RÓŻNE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12</w:t>
      </w:r>
    </w:p>
    <w:p>
      <w:pPr>
        <w:spacing w:after="0"/>
        <w:ind w:left="0"/>
        <w:jc w:val="left"/>
        <w:textAlignment w:val="auto"/>
      </w:pPr>
      <w:r>
        <w:rPr>
          <w:rFonts w:ascii="Times New Roman"/>
          <w:b/>
          <w:i w:val="false"/>
          <w:color w:val="000000"/>
          <w:sz w:val="24"/>
          <w:lang w:val="pl-PL"/>
        </w:rPr>
        <w:t>Zobowiązania</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Każda ze Stron zobowiązuje się do uznania za wiążące co najmniej dwudziestu ustępów zawartych w części I Karty, z których co najmniej dziesięć zostanie wybranych spośród następujących ustępów:</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2,</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3 ustępy 1 i 2,</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4 ustępy 1, 2 i 4,</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5,</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7 ustęp 1,</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8 ustęp 2,</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9 ustępy 1, 2 i 3,</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10 ustęp 1,</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art. 11.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Każde umawiające się państwo, w chwili składania dokumentu ratyfikacyjnego, przyjęcia lub zatwierdzenia, powiadamia Sekretarza Generalnego Rady Europy o wybranych ustępach, zgodnie z przepisem ustępu 1 niniejszego artykułu.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Każda ze Stron może w jakimkolwiek późniejszym terminie powiadomić Sekretarza Generalnego, iż uznaje za wiążący każdy z pozostałych ustępów niniejszej Karty, którego dotychczas jeszcze nie przyjęła, zgodnie z przepisem ustępu 1 niniejszego artykułu. Te późniejsze zobowiązania będą uznane za integralną część ratyfikacji, przyjęcia lub zatwierdzenia Strony składającej powiadomienie i będą miały ten sam skutek począwszy od pierwszego dnia miesiąca następującego po upływie trzech miesięcy od dnia otrzymania powiadomienia przez Sekretarza Generalnego.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Artykuł  13 </w:t>
      </w:r>
      <w:r>
        <w:rPr>
          <w:rFonts w:ascii="Times New Roman"/>
          <w:b/>
          <w:i w:val="false"/>
          <w:color w:val="000000"/>
          <w:sz w:val="24"/>
          <w:vertAlign w:val="superscript"/>
          <w:lang w:val="pl-PL"/>
        </w:rPr>
        <w:t>7</w:t>
      </w:r>
      <w:r>
        <w:rPr>
          <w:rFonts w:ascii="Times New Roman"/>
          <w:b/>
          <w:i w:val="false"/>
          <w:color w:val="000000"/>
          <w:sz w:val="24"/>
          <w:lang w:val="pl-PL"/>
        </w:rPr>
        <w:t xml:space="preserve"> </w:t>
      </w:r>
    </w:p>
    <w:p>
      <w:pPr>
        <w:spacing w:after="0"/>
        <w:ind w:left="0"/>
        <w:jc w:val="left"/>
        <w:textAlignment w:val="auto"/>
      </w:pPr>
      <w:r>
        <w:rPr>
          <w:rFonts w:ascii="Times New Roman"/>
          <w:b/>
          <w:i w:val="false"/>
          <w:color w:val="000000"/>
          <w:sz w:val="24"/>
          <w:lang w:val="pl-PL"/>
        </w:rPr>
        <w:t>Społeczności, do których Karta ma zastosowanie</w:t>
      </w:r>
    </w:p>
    <w:p>
      <w:pPr>
        <w:spacing w:before="25" w:after="0"/>
        <w:ind w:left="0"/>
        <w:jc w:val="both"/>
        <w:textAlignment w:val="auto"/>
      </w:pPr>
      <w:r>
        <w:rPr>
          <w:rFonts w:ascii="Times New Roman"/>
          <w:b w:val="false"/>
          <w:i w:val="false"/>
          <w:color w:val="000000"/>
          <w:sz w:val="24"/>
          <w:lang w:val="pl-PL"/>
        </w:rPr>
        <w:t>Zasady samorządności lokalnej zawarte w niniejszej Karcie mają zastosowanie do wszystkich kategorii społeczności lokalnych istniejących na terytorium Strony. Jednakże każda ze Stron może - w momencie składania dokumentu ratyfikacyjnego, przyjęcia lub zatwierdzenia - wskazać te kategorie społeczności lokalnych lub regionalnych, do których zamierza ograniczyć stosowanie niniejszej Karty, lub te, do których Karta nie będzie miała zastosowania. Strona może również włączyć inne kategorie społeczności lokalnych lub regionalnych do zakresu stosowania Karty w drodze późniejszego powiadomienia o tym Sekretarza Generalnego Rady Europy.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14</w:t>
      </w:r>
    </w:p>
    <w:p>
      <w:pPr>
        <w:spacing w:after="0"/>
        <w:ind w:left="0"/>
        <w:jc w:val="left"/>
        <w:textAlignment w:val="auto"/>
      </w:pPr>
      <w:r>
        <w:rPr>
          <w:rFonts w:ascii="Times New Roman"/>
          <w:b/>
          <w:i w:val="false"/>
          <w:color w:val="000000"/>
          <w:sz w:val="24"/>
          <w:lang w:val="pl-PL"/>
        </w:rPr>
        <w:t>Przekazywanie informacji</w:t>
      </w:r>
    </w:p>
    <w:p>
      <w:pPr>
        <w:spacing w:before="25" w:after="0"/>
        <w:ind w:left="0"/>
        <w:jc w:val="both"/>
        <w:textAlignment w:val="auto"/>
      </w:pPr>
      <w:r>
        <w:rPr>
          <w:rFonts w:ascii="Times New Roman"/>
          <w:b w:val="false"/>
          <w:i w:val="false"/>
          <w:color w:val="000000"/>
          <w:sz w:val="24"/>
          <w:lang w:val="pl-PL"/>
        </w:rPr>
        <w:t>Każda Strona przekazuje Sekretarzowi Generalnemu Rady Europy wszelkie informacje dotyczące przepisów prawnych oraz innych rozwiązań, które zostały zastosowane w celu dostosowania się do postanowień niniejszej Karty.</w:t>
      </w:r>
    </w:p>
    <w:p>
      <w:pPr>
        <w:spacing w:after="0"/>
        <w:ind w:left="0"/>
        <w:jc w:val="left"/>
        <w:textAlignment w:val="auto"/>
      </w:pPr>
    </w:p>
    <w:p>
      <w:pPr>
        <w:spacing w:before="236" w:after="0"/>
        <w:ind w:left="0"/>
        <w:jc w:val="center"/>
        <w:textAlignment w:val="auto"/>
      </w:pPr>
      <w:r>
        <w:rPr>
          <w:rFonts w:ascii="Times New Roman"/>
          <w:b/>
          <w:i w:val="false"/>
          <w:color w:val="000000"/>
          <w:sz w:val="24"/>
          <w:lang w:val="pl-PL"/>
        </w:rPr>
        <w:t>CZĘŚĆ  III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15</w:t>
      </w:r>
    </w:p>
    <w:p>
      <w:pPr>
        <w:spacing w:after="0"/>
        <w:ind w:left="0"/>
        <w:jc w:val="left"/>
        <w:textAlignment w:val="auto"/>
      </w:pPr>
      <w:r>
        <w:rPr>
          <w:rFonts w:ascii="Times New Roman"/>
          <w:b/>
          <w:i w:val="false"/>
          <w:color w:val="000000"/>
          <w:sz w:val="24"/>
          <w:lang w:val="pl-PL"/>
        </w:rPr>
        <w:t>Podpisanie, ratyfikacja, wejście w życie</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Niniejsza Karta jest otwarta do podpisu dla państw członkowskich Rady Europy. Podlega ratyfikacji, przyjęciu lub zatwierdzeniu. Dokument ratyfikacyjny, przyjęcia lub zatwierdzenia zostanie zdeponowany u Sekretarza Generalnego Rady Europy.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Niniejsza Karta wejdzie w życie w pierwszym dniu miesiąca następującego po upływie trzech miesięcy od dnia wyrażenia zgody na związanie się Kartą przez cztery państwa członkowskie Rady Europy, zgodnie z przepisem poprzedniego ustępu.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W stosunku do każdego państwa członkowskiego, które wyrazi w późniejszym terminie zgodę na związanie się Kartą, wejdzie ona w życie w pierwszym dniu miesiąca następującego po upływie trzech miesięcy od dnia złożenia dokumentu ratyfikacyjnego, przyjęcia lub zatwierdzenia.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16</w:t>
      </w:r>
    </w:p>
    <w:p>
      <w:pPr>
        <w:spacing w:after="0"/>
        <w:ind w:left="0"/>
        <w:jc w:val="left"/>
        <w:textAlignment w:val="auto"/>
      </w:pPr>
      <w:r>
        <w:rPr>
          <w:rFonts w:ascii="Times New Roman"/>
          <w:b/>
          <w:i w:val="false"/>
          <w:color w:val="000000"/>
          <w:sz w:val="24"/>
          <w:lang w:val="pl-PL"/>
        </w:rPr>
        <w:t>Klauzula terytorialna</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Każde państwo może przy podpisywaniu albo w momencie składania dokumentu ratyfikacyjnego, przyjęcia, zatwierdzenia lub przystąpienia określić terytorium lub terytoria, na których Karta będzie stosowana.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Każde państwo może w jakimkolwiek późniejszym terminie, w drodze oświadczenia skierowanego do Sekretarza Generalnego Rady Europy, rozszerzyć stosowanie niniejszej Karty na każde inne terytorium wskazane w tym oświadczeniu. W stosunku do tego terytorium Karta wejdzie w życie pierwszego dnia miesiąca następującego po upływie trzech miesięcy od dnia otrzymania oświadczenia przez Sekretarza Generalnego.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Każde oświadczenie sporządzone na podstawie przepisów dwóch poprzednich ustępów może być wycofane odnośnie do każdego terytorium wskazanego w tym oświadczeniu, w drodze powiadomienia skierowanego do Sekretarza Generalnego. Wycofanie to nabierze mocy pierwszego dnia następującego po upływie sześciu miesięcy od dnia otrzymania powiadomienia przez Sekretarza Generalnego.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17</w:t>
      </w:r>
    </w:p>
    <w:p>
      <w:pPr>
        <w:spacing w:after="0"/>
        <w:ind w:left="0"/>
        <w:jc w:val="left"/>
        <w:textAlignment w:val="auto"/>
      </w:pPr>
      <w:r>
        <w:rPr>
          <w:rFonts w:ascii="Times New Roman"/>
          <w:b/>
          <w:i w:val="false"/>
          <w:color w:val="000000"/>
          <w:sz w:val="24"/>
          <w:lang w:val="pl-PL"/>
        </w:rPr>
        <w:t>Wypowiedzenie</w:t>
      </w:r>
    </w:p>
    <w:p>
      <w:pPr>
        <w:spacing w:before="26"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Żadne państwo nie może wypowiedzieć niniejszej Karty przed upływem pięciu lat od dnia wejścia dla niego w życie niniejszej Karty. Sekretarz Generalny Rady Europy zostanie powiadomiony o wypowiedzeniu z sześciomiesięcznym wyprzedzeniem. Wypowiedzenie takie nie wpływa na ważność Karty w stosunku do innych Stron, pod warunkiem że ich liczba nie będzie mniejsza niż cztery.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Każda Strona może zgodnie z przepisami zawartymi w poprzednim ustępie wypowiedzieć każdy z przyjętych ustępów części I Karty, pod warunkiem że liczba i kategoria ustępów, do których przestrzegania Strona będzie zobowiązana, są zgodne z przepisem artykułu 12 ustęp 1. W stosunku do każdej Strony, która w wyniku wypowiedzenia któregoś ustępu nie zastosuje się do przepisu artykułu 12 ustęp 1, przyjmuje się, że Strona ta wypowiedziała także Kartę.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Artykuł  18</w:t>
      </w:r>
    </w:p>
    <w:p>
      <w:pPr>
        <w:spacing w:after="0"/>
        <w:ind w:left="0"/>
        <w:jc w:val="left"/>
        <w:textAlignment w:val="auto"/>
      </w:pPr>
      <w:r>
        <w:rPr>
          <w:rFonts w:ascii="Times New Roman"/>
          <w:b/>
          <w:i w:val="false"/>
          <w:color w:val="000000"/>
          <w:sz w:val="24"/>
          <w:lang w:val="pl-PL"/>
        </w:rPr>
        <w:t>Notyfikacje</w:t>
      </w:r>
    </w:p>
    <w:p>
      <w:pPr>
        <w:spacing w:before="25" w:after="0"/>
        <w:ind w:left="0"/>
        <w:jc w:val="both"/>
        <w:textAlignment w:val="auto"/>
      </w:pPr>
      <w:r>
        <w:rPr>
          <w:rFonts w:ascii="Times New Roman"/>
          <w:b w:val="false"/>
          <w:i w:val="false"/>
          <w:color w:val="000000"/>
          <w:sz w:val="24"/>
          <w:lang w:val="pl-PL"/>
        </w:rPr>
        <w:t>Sekretarz Generalny Rady Europy powiadamia państwa członkowskie Rady o następujących faktach:</w:t>
      </w:r>
    </w:p>
    <w:p>
      <w:pPr>
        <w:spacing w:after="0"/>
        <w:ind w:left="0"/>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każdym podpisaniu Karty;</w:t>
      </w:r>
    </w:p>
    <w:p>
      <w:pPr>
        <w:spacing w:after="0"/>
        <w:ind w:left="0"/>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złożeniu każdego dokumentu ratyfikacyjnego, przyjęcia lub zatwierdzenia;</w:t>
      </w:r>
    </w:p>
    <w:p>
      <w:pPr>
        <w:spacing w:after="0"/>
        <w:ind w:left="0"/>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każdej dacie wejścia w życie niniejszej Karty, zgodnie z artykułem 15;</w:t>
      </w:r>
    </w:p>
    <w:p>
      <w:pPr>
        <w:spacing w:after="0"/>
        <w:ind w:left="0"/>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każdym powiadomieniu otrzymanym w związku z zastosowaniem przepisów artykułu 12 ustępy 2 i 3;</w:t>
      </w:r>
    </w:p>
    <w:p>
      <w:pPr>
        <w:spacing w:after="0"/>
        <w:ind w:left="0"/>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każdym powiadomieniu otrzymanym w związku z zastosowaniem przepisów artykułu 13;</w:t>
      </w:r>
    </w:p>
    <w:p>
      <w:pPr>
        <w:spacing w:after="0"/>
        <w:ind w:left="0"/>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każdej innej czynności, powiadomieniu lub informacji, które mają związek z niniejszą Kartą.</w:t>
      </w:r>
    </w:p>
    <w:p>
      <w:pPr>
        <w:spacing w:before="25" w:after="0"/>
        <w:ind w:left="0"/>
        <w:jc w:val="both"/>
        <w:textAlignment w:val="auto"/>
      </w:pPr>
      <w:r>
        <w:rPr>
          <w:rFonts w:ascii="Times New Roman"/>
          <w:b w:val="false"/>
          <w:i w:val="false"/>
          <w:color w:val="000000"/>
          <w:sz w:val="24"/>
          <w:lang w:val="pl-PL"/>
        </w:rPr>
        <w:t>Na dowód czego niżej podpisani, właściwie do tego upełnomocnieni, podpisali niniejszą Kartę.</w:t>
      </w:r>
    </w:p>
    <w:p>
      <w:pPr>
        <w:spacing w:before="25" w:after="0"/>
        <w:ind w:left="0"/>
        <w:jc w:val="both"/>
        <w:textAlignment w:val="auto"/>
      </w:pPr>
      <w:r>
        <w:rPr>
          <w:rFonts w:ascii="Times New Roman"/>
          <w:b w:val="false"/>
          <w:i w:val="false"/>
          <w:color w:val="000000"/>
          <w:sz w:val="24"/>
          <w:lang w:val="pl-PL"/>
        </w:rPr>
        <w:t>Sporządzono w Strasburgu dnia 15 października 1985 r. w językach angielskim i francuskim, przy czym obydwa teksty mają jednakową moc, w jednym egzemplarzu, który zostanie złożony w archiwum Rady Europy. Sekretarz Generalny Rady Europy przekaże uwierzytelnione kopie wszystkim państwom członkowskim Rady Europy.</w:t>
      </w:r>
    </w:p>
    <w:p>
      <w:pPr>
        <w:spacing w:before="25" w:after="0"/>
        <w:ind w:left="0"/>
        <w:jc w:val="both"/>
        <w:textAlignment w:val="auto"/>
      </w:pPr>
      <w:r>
        <w:rPr>
          <w:rFonts w:ascii="Times New Roman"/>
          <w:b w:val="false"/>
          <w:i w:val="false"/>
          <w:color w:val="000000"/>
          <w:sz w:val="24"/>
          <w:lang w:val="pl-PL"/>
        </w:rPr>
        <w:t>Po zaznajomieniu się z powyższą Kartą, w imieniu Rzeczypospolitej Polskiej oświadczam, że:</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została ona uznana za słuszną w całości, jak i każde z postanowień w niej zawartych,</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jest przyjęta, ratyfikowana i potwierdzona,</w:t>
      </w:r>
    </w:p>
    <w:p>
      <w:pPr>
        <w:spacing w:after="0"/>
        <w:ind w:left="0"/>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będzie niezmiennie zachowywana.</w:t>
      </w:r>
    </w:p>
    <w:p>
      <w:pPr>
        <w:spacing w:before="25" w:after="0"/>
        <w:ind w:left="0"/>
        <w:jc w:val="both"/>
        <w:textAlignment w:val="auto"/>
      </w:pPr>
      <w:r>
        <w:rPr>
          <w:rFonts w:ascii="Times New Roman"/>
          <w:b w:val="false"/>
          <w:i w:val="false"/>
          <w:color w:val="000000"/>
          <w:sz w:val="24"/>
          <w:lang w:val="pl-PL"/>
        </w:rPr>
        <w:t>Na dowód czego wydany został akt niniejszy, opatrzony pieczęcią Rzeczypospolitej Polskiej.</w:t>
      </w:r>
    </w:p>
    <w:p>
      <w:pPr>
        <w:spacing w:before="25" w:after="0"/>
        <w:ind w:left="0"/>
        <w:jc w:val="both"/>
        <w:textAlignment w:val="auto"/>
      </w:pPr>
      <w:r>
        <w:rPr>
          <w:rFonts w:ascii="Times New Roman"/>
          <w:b w:val="false"/>
          <w:i w:val="false"/>
          <w:color w:val="000000"/>
          <w:sz w:val="24"/>
          <w:lang w:val="pl-PL"/>
        </w:rPr>
        <w:t>Dano w Warszawie dnia 26 kwietnia 1993 r.</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Tytuł zmieniony przez pkt 1 obwieszczenia Ministra Spraw Zagranicznych z dnia 22 sierpnia 2006 r. o sprostowaniu błędu (Dz.U.06.154.1107).</w:t>
      </w:r>
    </w:p>
    <w:p>
      <w:pPr>
        <w:spacing w:after="0"/>
        <w:ind w:left="0"/>
        <w:jc w:val="left"/>
        <w:textAlignment w:val="auto"/>
      </w:pPr>
      <w:r>
        <w:rPr>
          <w:rFonts w:ascii="Times New Roman"/>
          <w:b w:val="false"/>
          <w:i w:val="false"/>
          <w:color w:val="000000"/>
          <w:sz w:val="24"/>
          <w:vertAlign w:val="superscript"/>
          <w:lang w:val="pl-PL"/>
        </w:rPr>
        <w:t>2</w:t>
      </w:r>
      <w:r>
        <w:rPr>
          <w:rFonts w:ascii="Times New Roman"/>
          <w:b w:val="false"/>
          <w:i w:val="false"/>
          <w:color w:val="000000"/>
          <w:sz w:val="24"/>
          <w:lang w:val="pl-PL"/>
        </w:rPr>
        <w:t> Praembuła zmieniona przez pkt 2 obwieszczenia Ministra Spraw Zagranicznych z dnia 22 sierpnia 2006 r. o sprostowaniu błędu (Dz.U.06.154.1107).</w:t>
      </w:r>
    </w:p>
    <w:p>
      <w:pPr>
        <w:spacing w:after="0"/>
        <w:ind w:left="0"/>
        <w:jc w:val="left"/>
        <w:textAlignment w:val="auto"/>
      </w:pPr>
      <w:r>
        <w:rPr>
          <w:rFonts w:ascii="Times New Roman"/>
          <w:b w:val="false"/>
          <w:i w:val="false"/>
          <w:color w:val="000000"/>
          <w:sz w:val="24"/>
          <w:vertAlign w:val="superscript"/>
          <w:lang w:val="pl-PL"/>
        </w:rPr>
        <w:t>3</w:t>
      </w:r>
      <w:r>
        <w:rPr>
          <w:rFonts w:ascii="Times New Roman"/>
          <w:b w:val="false"/>
          <w:i w:val="false"/>
          <w:color w:val="000000"/>
          <w:sz w:val="24"/>
          <w:lang w:val="pl-PL"/>
        </w:rPr>
        <w:t> Art. 2 zmieniony przez pkt 2 i 3 obwieszczenia Ministra Spraw Zagranicznych z dnia 22 sierpnia 2006 r. o sprostowaniu błędu (Dz.U.06.154.1107).</w:t>
      </w:r>
    </w:p>
    <w:p>
      <w:pPr>
        <w:spacing w:after="0"/>
        <w:ind w:left="0"/>
        <w:jc w:val="left"/>
        <w:textAlignment w:val="auto"/>
      </w:pPr>
      <w:r>
        <w:rPr>
          <w:rFonts w:ascii="Times New Roman"/>
          <w:b w:val="false"/>
          <w:i w:val="false"/>
          <w:color w:val="000000"/>
          <w:sz w:val="24"/>
          <w:vertAlign w:val="superscript"/>
          <w:lang w:val="pl-PL"/>
        </w:rPr>
        <w:t>4</w:t>
      </w:r>
      <w:r>
        <w:rPr>
          <w:rFonts w:ascii="Times New Roman"/>
          <w:b w:val="false"/>
          <w:i w:val="false"/>
          <w:color w:val="000000"/>
          <w:sz w:val="24"/>
          <w:lang w:val="pl-PL"/>
        </w:rPr>
        <w:t> Art. 3 zmieniony przez pkt 2 i 3 obwieszczenia Ministra Spraw Zagranicznych z dnia 22 sierpnia 2006 r. o sprostowaniu błędu (Dz.U.06.154.1107).</w:t>
      </w:r>
    </w:p>
    <w:p>
      <w:pPr>
        <w:spacing w:after="0"/>
        <w:ind w:left="0"/>
        <w:jc w:val="left"/>
        <w:textAlignment w:val="auto"/>
      </w:pPr>
      <w:r>
        <w:rPr>
          <w:rFonts w:ascii="Times New Roman"/>
          <w:b w:val="false"/>
          <w:i w:val="false"/>
          <w:color w:val="000000"/>
          <w:sz w:val="24"/>
          <w:vertAlign w:val="superscript"/>
          <w:lang w:val="pl-PL"/>
        </w:rPr>
        <w:t>5</w:t>
      </w:r>
      <w:r>
        <w:rPr>
          <w:rFonts w:ascii="Times New Roman"/>
          <w:b w:val="false"/>
          <w:i w:val="false"/>
          <w:color w:val="000000"/>
          <w:sz w:val="24"/>
          <w:lang w:val="pl-PL"/>
        </w:rPr>
        <w:t> Art. 4 zmieniony przez pkt 2 obwieszczenia Ministra Spraw Zagranicznych z dnia 22 sierpnia 2006 r. o sprostowaniu błędu (Dz.U.06.154.1107).</w:t>
      </w:r>
    </w:p>
    <w:p>
      <w:pPr>
        <w:spacing w:after="0"/>
        <w:ind w:left="0"/>
        <w:jc w:val="left"/>
        <w:textAlignment w:val="auto"/>
      </w:pPr>
      <w:r>
        <w:rPr>
          <w:rFonts w:ascii="Times New Roman"/>
          <w:b w:val="false"/>
          <w:i w:val="false"/>
          <w:color w:val="000000"/>
          <w:sz w:val="24"/>
          <w:vertAlign w:val="superscript"/>
          <w:lang w:val="pl-PL"/>
        </w:rPr>
        <w:t>6</w:t>
      </w:r>
      <w:r>
        <w:rPr>
          <w:rFonts w:ascii="Times New Roman"/>
          <w:b w:val="false"/>
          <w:i w:val="false"/>
          <w:color w:val="000000"/>
          <w:sz w:val="24"/>
          <w:lang w:val="pl-PL"/>
        </w:rPr>
        <w:t> Art. 11 zmieniony przez pkt 2 i 3 obwieszczenia Ministra Spraw Zagranicznych z dnia 22 sierpnia 2006 r. o sprostowaniu błędu (Dz.U.06.154.1107).</w:t>
      </w:r>
    </w:p>
    <w:p>
      <w:pPr>
        <w:spacing w:after="0"/>
        <w:ind w:left="0"/>
        <w:jc w:val="left"/>
        <w:textAlignment w:val="auto"/>
      </w:pPr>
      <w:r>
        <w:rPr>
          <w:rFonts w:ascii="Times New Roman"/>
          <w:b w:val="false"/>
          <w:i w:val="false"/>
          <w:color w:val="000000"/>
          <w:sz w:val="24"/>
          <w:vertAlign w:val="superscript"/>
          <w:lang w:val="pl-PL"/>
        </w:rPr>
        <w:t>7</w:t>
      </w:r>
      <w:r>
        <w:rPr>
          <w:rFonts w:ascii="Times New Roman"/>
          <w:b w:val="false"/>
          <w:i w:val="false"/>
          <w:color w:val="000000"/>
          <w:sz w:val="24"/>
          <w:lang w:val="pl-PL"/>
        </w:rPr>
        <w:t> Art. 13 zmieniony przez pkt 3 obwieszczenia Ministra Spraw Zagranicznych z dnia 22 sierpnia 2006 r. o sprostowaniu błędu (Dz.U.06.154.1107).</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